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2366D" w14:textId="5BFFB57C" w:rsidR="0035576E" w:rsidRDefault="0035576E" w:rsidP="00C03DD2">
      <w:pPr>
        <w:jc w:val="right"/>
        <w:rPr>
          <w:rFonts w:ascii="Verdana" w:hAnsi="Verdana"/>
        </w:rPr>
      </w:pPr>
    </w:p>
    <w:p w14:paraId="426ED9A6" w14:textId="7BE2496F" w:rsidR="0035576E" w:rsidRDefault="002C67EE" w:rsidP="0035576E">
      <w:pPr>
        <w:jc w:val="center"/>
        <w:rPr>
          <w:rFonts w:ascii="Verdana" w:hAnsi="Verdana"/>
        </w:rPr>
      </w:pPr>
      <w:r>
        <w:rPr>
          <w:noProof/>
        </w:rPr>
        <w:drawing>
          <wp:anchor distT="0" distB="0" distL="114300" distR="114300" simplePos="0" relativeHeight="251658240" behindDoc="0" locked="0" layoutInCell="1" allowOverlap="1" wp14:anchorId="530AB681" wp14:editId="33281D0A">
            <wp:simplePos x="0" y="0"/>
            <wp:positionH relativeFrom="margin">
              <wp:align>center</wp:align>
            </wp:positionH>
            <wp:positionV relativeFrom="paragraph">
              <wp:posOffset>68580</wp:posOffset>
            </wp:positionV>
            <wp:extent cx="2314575" cy="742950"/>
            <wp:effectExtent l="0" t="0" r="9525" b="0"/>
            <wp:wrapNone/>
            <wp:docPr id="3"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A09E6E" w14:textId="77777777" w:rsidR="0035576E" w:rsidRDefault="0035576E" w:rsidP="0035576E">
      <w:pPr>
        <w:jc w:val="center"/>
        <w:rPr>
          <w:rFonts w:ascii="Verdana" w:hAnsi="Verdana"/>
        </w:rPr>
      </w:pPr>
    </w:p>
    <w:p w14:paraId="79EAB5BA" w14:textId="77777777" w:rsidR="0035576E" w:rsidRDefault="0035576E" w:rsidP="0035576E">
      <w:pPr>
        <w:jc w:val="center"/>
        <w:rPr>
          <w:rFonts w:ascii="Verdana" w:hAnsi="Verdana"/>
        </w:rPr>
      </w:pPr>
    </w:p>
    <w:p w14:paraId="3C4AA39F" w14:textId="77777777" w:rsidR="0035576E" w:rsidRDefault="0035576E" w:rsidP="0035576E">
      <w:pPr>
        <w:jc w:val="center"/>
        <w:rPr>
          <w:rFonts w:ascii="Verdana" w:hAnsi="Verdana"/>
        </w:rPr>
      </w:pPr>
    </w:p>
    <w:p w14:paraId="1673D8C4" w14:textId="77777777" w:rsidR="0035576E" w:rsidRPr="00621FF1" w:rsidRDefault="0035576E" w:rsidP="0035576E">
      <w:pPr>
        <w:jc w:val="center"/>
        <w:rPr>
          <w:rFonts w:ascii="Century Gothic" w:hAnsi="Century Gothic"/>
        </w:rPr>
      </w:pPr>
    </w:p>
    <w:p w14:paraId="754F8E0C" w14:textId="77777777" w:rsidR="0035576E" w:rsidRPr="00621FF1" w:rsidRDefault="0035576E" w:rsidP="0035576E">
      <w:pPr>
        <w:jc w:val="center"/>
        <w:rPr>
          <w:rFonts w:ascii="Century Gothic" w:hAnsi="Century Gothic"/>
        </w:rPr>
      </w:pPr>
      <w:r w:rsidRPr="00621FF1">
        <w:rPr>
          <w:rFonts w:ascii="Century Gothic" w:hAnsi="Century Gothic"/>
        </w:rPr>
        <w:t>RELATIONSHIP BREAKDOWN PROCEDURE</w:t>
      </w:r>
    </w:p>
    <w:p w14:paraId="6ADD82A5" w14:textId="4A08D153" w:rsidR="0035576E" w:rsidRPr="00621FF1" w:rsidRDefault="002C67EE" w:rsidP="002C67EE">
      <w:pPr>
        <w:jc w:val="center"/>
        <w:rPr>
          <w:rFonts w:ascii="Century Gothic" w:hAnsi="Century Gothic"/>
        </w:rPr>
      </w:pPr>
      <w:r>
        <w:rPr>
          <w:rFonts w:ascii="Century Gothic" w:hAnsi="Century Gothic"/>
        </w:rPr>
        <w:t>PLACES FOR PEOPLE SCOTLAND</w:t>
      </w:r>
    </w:p>
    <w:p w14:paraId="7C5CCE65" w14:textId="1C59C233" w:rsidR="0035576E" w:rsidRDefault="007B6797" w:rsidP="00C03DD2">
      <w:pPr>
        <w:jc w:val="center"/>
        <w:rPr>
          <w:rFonts w:ascii="Verdana" w:hAnsi="Verdana"/>
        </w:rPr>
      </w:pPr>
      <w:r w:rsidRPr="007B6797">
        <w:rPr>
          <w:rFonts w:ascii="Verdana" w:hAnsi="Verdana"/>
          <w:color w:val="000000" w:themeColor="text1"/>
          <w:shd w:val="clear" w:color="auto" w:fill="000000" w:themeFill="text1"/>
        </w:rPr>
        <w:t>_____________________</w:t>
      </w:r>
      <w:r w:rsidR="0035576E">
        <w:rPr>
          <w:rFonts w:ascii="Verdana" w:hAnsi="Verdana"/>
        </w:rPr>
        <w:br w:type="page"/>
      </w:r>
    </w:p>
    <w:p w14:paraId="0F66F2D4" w14:textId="77777777" w:rsidR="0035576E" w:rsidRPr="004E18F7" w:rsidRDefault="0035576E" w:rsidP="0035576E">
      <w:pPr>
        <w:rPr>
          <w:rStyle w:val="BookTitle"/>
          <w:rFonts w:ascii="Verdana" w:hAnsi="Verdana"/>
          <w:sz w:val="24"/>
        </w:rPr>
      </w:pPr>
      <w:r w:rsidRPr="004E18F7">
        <w:rPr>
          <w:rStyle w:val="BookTitle"/>
          <w:rFonts w:ascii="Verdana" w:hAnsi="Verdana"/>
          <w:sz w:val="24"/>
        </w:rPr>
        <w:lastRenderedPageBreak/>
        <w:t>Introduction</w:t>
      </w:r>
    </w:p>
    <w:p w14:paraId="7B7E657C" w14:textId="77777777" w:rsidR="0035576E" w:rsidRPr="00621FF1" w:rsidRDefault="0035576E" w:rsidP="0035576E">
      <w:pPr>
        <w:rPr>
          <w:rFonts w:ascii="Century Gothic" w:hAnsi="Century Gothic"/>
        </w:rPr>
      </w:pPr>
      <w:r w:rsidRPr="00621FF1">
        <w:rPr>
          <w:rFonts w:ascii="Century Gothic" w:hAnsi="Century Gothic"/>
        </w:rPr>
        <w:t xml:space="preserve">Procedure will </w:t>
      </w:r>
      <w:r w:rsidR="00DE1026" w:rsidRPr="00621FF1">
        <w:rPr>
          <w:rFonts w:ascii="Century Gothic" w:hAnsi="Century Gothic"/>
        </w:rPr>
        <w:t>outline our involvement and legal rights for our customers where a relationship has broken down.</w:t>
      </w:r>
      <w:r w:rsidRPr="00621FF1">
        <w:rPr>
          <w:rFonts w:ascii="Century Gothic" w:hAnsi="Century Gothic"/>
        </w:rPr>
        <w:t xml:space="preserve"> Where there is</w:t>
      </w:r>
      <w:r w:rsidR="00DE1026" w:rsidRPr="00621FF1">
        <w:rPr>
          <w:rFonts w:ascii="Century Gothic" w:hAnsi="Century Gothic"/>
        </w:rPr>
        <w:t xml:space="preserve"> reported or known</w:t>
      </w:r>
      <w:r w:rsidRPr="00621FF1">
        <w:rPr>
          <w:rFonts w:ascii="Century Gothic" w:hAnsi="Century Gothic"/>
        </w:rPr>
        <w:t xml:space="preserve"> violence or abuse, please ref</w:t>
      </w:r>
      <w:r w:rsidR="00C03DD2" w:rsidRPr="00621FF1">
        <w:rPr>
          <w:rFonts w:ascii="Century Gothic" w:hAnsi="Century Gothic"/>
        </w:rPr>
        <w:t>er to Domestic Abuse procedure</w:t>
      </w:r>
      <w:r w:rsidRPr="00621FF1">
        <w:rPr>
          <w:rFonts w:ascii="Century Gothic" w:hAnsi="Century Gothic"/>
        </w:rPr>
        <w:t>.</w:t>
      </w:r>
    </w:p>
    <w:p w14:paraId="3B084846" w14:textId="77777777" w:rsidR="00DE1026" w:rsidRPr="00621FF1" w:rsidRDefault="00DE1026" w:rsidP="0035576E">
      <w:pPr>
        <w:rPr>
          <w:rFonts w:ascii="Century Gothic" w:hAnsi="Century Gothic"/>
        </w:rPr>
      </w:pPr>
      <w:r w:rsidRPr="00621FF1">
        <w:rPr>
          <w:rFonts w:ascii="Century Gothic" w:hAnsi="Century Gothic"/>
        </w:rPr>
        <w:t>Housing rights of an individual depend on if the individual is a tenant, whether this is a sole or a joint tenancy and whether the individual has obtained occupancy rights under the Matrim</w:t>
      </w:r>
      <w:r w:rsidR="00C03DD2" w:rsidRPr="00621FF1">
        <w:rPr>
          <w:rFonts w:ascii="Century Gothic" w:hAnsi="Century Gothic"/>
        </w:rPr>
        <w:t>onial Homes (Family Protection) (</w:t>
      </w:r>
      <w:r w:rsidRPr="00621FF1">
        <w:rPr>
          <w:rFonts w:ascii="Century Gothic" w:hAnsi="Century Gothic"/>
        </w:rPr>
        <w:t>Scotland) Act 1981.</w:t>
      </w:r>
    </w:p>
    <w:p w14:paraId="47C97394" w14:textId="77777777" w:rsidR="00A37C7A" w:rsidRPr="00621FF1" w:rsidRDefault="00A37C7A" w:rsidP="0035576E">
      <w:pPr>
        <w:rPr>
          <w:rFonts w:ascii="Century Gothic" w:hAnsi="Century Gothic"/>
        </w:rPr>
      </w:pPr>
      <w:r w:rsidRPr="00621FF1">
        <w:rPr>
          <w:rFonts w:ascii="Century Gothic" w:hAnsi="Century Gothic"/>
        </w:rPr>
        <w:t xml:space="preserve">As a landlord, we will not become directly involved </w:t>
      </w:r>
      <w:r w:rsidR="00DE1026" w:rsidRPr="00621FF1">
        <w:rPr>
          <w:rFonts w:ascii="Century Gothic" w:hAnsi="Century Gothic"/>
        </w:rPr>
        <w:t>and need to remain impartial.</w:t>
      </w:r>
      <w:r w:rsidRPr="00621FF1">
        <w:rPr>
          <w:rFonts w:ascii="Century Gothic" w:hAnsi="Century Gothic"/>
        </w:rPr>
        <w:t xml:space="preserve"> </w:t>
      </w:r>
      <w:r w:rsidR="00C03DD2" w:rsidRPr="00621FF1">
        <w:rPr>
          <w:rFonts w:ascii="Century Gothic" w:hAnsi="Century Gothic"/>
        </w:rPr>
        <w:t>Housing Officers</w:t>
      </w:r>
      <w:r w:rsidRPr="00621FF1">
        <w:rPr>
          <w:rFonts w:ascii="Century Gothic" w:hAnsi="Century Gothic"/>
        </w:rPr>
        <w:t xml:space="preserve"> should provide practical advice and assistance</w:t>
      </w:r>
      <w:r w:rsidR="00DE1026" w:rsidRPr="00621FF1">
        <w:rPr>
          <w:rFonts w:ascii="Century Gothic" w:hAnsi="Century Gothic"/>
        </w:rPr>
        <w:t xml:space="preserve"> to both parties</w:t>
      </w:r>
      <w:r w:rsidRPr="00621FF1">
        <w:rPr>
          <w:rFonts w:ascii="Century Gothic" w:hAnsi="Century Gothic"/>
        </w:rPr>
        <w:t xml:space="preserve"> when requested</w:t>
      </w:r>
      <w:r w:rsidR="00DE1026" w:rsidRPr="00621FF1">
        <w:rPr>
          <w:rFonts w:ascii="Century Gothic" w:hAnsi="Century Gothic"/>
        </w:rPr>
        <w:t>.</w:t>
      </w:r>
      <w:r w:rsidRPr="00621FF1">
        <w:rPr>
          <w:rFonts w:ascii="Century Gothic" w:hAnsi="Century Gothic"/>
        </w:rPr>
        <w:t xml:space="preserve"> You should encourage</w:t>
      </w:r>
      <w:r w:rsidR="00DE1026" w:rsidRPr="00621FF1">
        <w:rPr>
          <w:rFonts w:ascii="Century Gothic" w:hAnsi="Century Gothic"/>
        </w:rPr>
        <w:t xml:space="preserve"> that</w:t>
      </w:r>
      <w:r w:rsidRPr="00621FF1">
        <w:rPr>
          <w:rFonts w:ascii="Century Gothic" w:hAnsi="Century Gothic"/>
        </w:rPr>
        <w:t xml:space="preserve"> both parties seek legal advice and if required request a court ruling if either party cannot agree who should have the tenancy.</w:t>
      </w:r>
      <w:r w:rsidR="001C1E50" w:rsidRPr="00621FF1">
        <w:rPr>
          <w:rFonts w:ascii="Century Gothic" w:hAnsi="Century Gothic"/>
        </w:rPr>
        <w:t xml:space="preserve"> It is the </w:t>
      </w:r>
      <w:r w:rsidR="00DE1026" w:rsidRPr="00621FF1">
        <w:rPr>
          <w:rFonts w:ascii="Century Gothic" w:hAnsi="Century Gothic"/>
        </w:rPr>
        <w:t>customers’ responsibility to decide who (</w:t>
      </w:r>
      <w:r w:rsidR="001C1E50" w:rsidRPr="00621FF1">
        <w:rPr>
          <w:rFonts w:ascii="Century Gothic" w:hAnsi="Century Gothic"/>
        </w:rPr>
        <w:t>if any</w:t>
      </w:r>
      <w:r w:rsidR="00DE1026" w:rsidRPr="00621FF1">
        <w:rPr>
          <w:rFonts w:ascii="Century Gothic" w:hAnsi="Century Gothic"/>
        </w:rPr>
        <w:t>)</w:t>
      </w:r>
      <w:r w:rsidR="001C1E50" w:rsidRPr="00621FF1">
        <w:rPr>
          <w:rFonts w:ascii="Century Gothic" w:hAnsi="Century Gothic"/>
        </w:rPr>
        <w:t xml:space="preserve"> persons remain in the property. </w:t>
      </w:r>
    </w:p>
    <w:p w14:paraId="1663DFEA" w14:textId="7CC5BFEB" w:rsidR="001C1E50" w:rsidRPr="00621FF1" w:rsidRDefault="00BC59AE" w:rsidP="0035576E">
      <w:pPr>
        <w:rPr>
          <w:rFonts w:ascii="Century Gothic" w:hAnsi="Century Gothic"/>
        </w:rPr>
      </w:pPr>
      <w:r w:rsidRPr="00621FF1">
        <w:rPr>
          <w:rFonts w:ascii="Century Gothic" w:hAnsi="Century Gothic"/>
        </w:rPr>
        <w:t xml:space="preserve">All </w:t>
      </w:r>
      <w:r w:rsidR="00DA367D" w:rsidRPr="00621FF1">
        <w:rPr>
          <w:rFonts w:ascii="Century Gothic" w:hAnsi="Century Gothic"/>
        </w:rPr>
        <w:t xml:space="preserve">housing </w:t>
      </w:r>
      <w:r w:rsidRPr="00621FF1">
        <w:rPr>
          <w:rFonts w:ascii="Century Gothic" w:hAnsi="Century Gothic"/>
        </w:rPr>
        <w:t xml:space="preserve">options </w:t>
      </w:r>
      <w:r w:rsidR="00DF4BAD">
        <w:rPr>
          <w:rFonts w:ascii="Century Gothic" w:hAnsi="Century Gothic"/>
        </w:rPr>
        <w:t xml:space="preserve">are </w:t>
      </w:r>
      <w:r w:rsidRPr="00621FF1">
        <w:rPr>
          <w:rFonts w:ascii="Century Gothic" w:hAnsi="Century Gothic"/>
        </w:rPr>
        <w:t>detailed in our</w:t>
      </w:r>
      <w:r w:rsidR="001C1E50" w:rsidRPr="00621FF1">
        <w:rPr>
          <w:rFonts w:ascii="Century Gothic" w:hAnsi="Century Gothic"/>
        </w:rPr>
        <w:t xml:space="preserve"> Allocations</w:t>
      </w:r>
      <w:r w:rsidR="00C03DD2" w:rsidRPr="00621FF1">
        <w:rPr>
          <w:rFonts w:ascii="Century Gothic" w:hAnsi="Century Gothic"/>
        </w:rPr>
        <w:t xml:space="preserve"> </w:t>
      </w:r>
      <w:r w:rsidR="001C1E50" w:rsidRPr="00621FF1">
        <w:rPr>
          <w:rFonts w:ascii="Century Gothic" w:hAnsi="Century Gothic"/>
        </w:rPr>
        <w:t xml:space="preserve">Policy. We are not </w:t>
      </w:r>
      <w:r w:rsidR="00BB2576" w:rsidRPr="00BB2576">
        <w:rPr>
          <w:rFonts w:ascii="Century Gothic" w:hAnsi="Century Gothic"/>
        </w:rPr>
        <w:t>obliged</w:t>
      </w:r>
      <w:r w:rsidR="001C1E50" w:rsidRPr="00621FF1">
        <w:rPr>
          <w:rFonts w:ascii="Century Gothic" w:hAnsi="Century Gothic"/>
        </w:rPr>
        <w:t xml:space="preserve"> to re-house anyone in the event of a relationship </w:t>
      </w:r>
      <w:proofErr w:type="gramStart"/>
      <w:r w:rsidR="001C1E50" w:rsidRPr="00621FF1">
        <w:rPr>
          <w:rFonts w:ascii="Century Gothic" w:hAnsi="Century Gothic"/>
        </w:rPr>
        <w:t>breakdown</w:t>
      </w:r>
      <w:proofErr w:type="gramEnd"/>
      <w:r w:rsidR="001C1E50" w:rsidRPr="00621FF1">
        <w:rPr>
          <w:rFonts w:ascii="Century Gothic" w:hAnsi="Century Gothic"/>
        </w:rPr>
        <w:t xml:space="preserve"> and </w:t>
      </w:r>
      <w:r w:rsidR="00C03DD2" w:rsidRPr="00621FF1">
        <w:rPr>
          <w:rFonts w:ascii="Century Gothic" w:hAnsi="Century Gothic"/>
        </w:rPr>
        <w:t xml:space="preserve">they </w:t>
      </w:r>
      <w:r w:rsidR="001C1E50" w:rsidRPr="00621FF1">
        <w:rPr>
          <w:rFonts w:ascii="Century Gothic" w:hAnsi="Century Gothic"/>
        </w:rPr>
        <w:t>should apply for housing through the</w:t>
      </w:r>
      <w:r w:rsidR="00C03DD2" w:rsidRPr="00621FF1">
        <w:rPr>
          <w:rFonts w:ascii="Century Gothic" w:hAnsi="Century Gothic"/>
        </w:rPr>
        <w:t>ir Local Authority</w:t>
      </w:r>
      <w:r w:rsidR="00616915">
        <w:rPr>
          <w:rFonts w:ascii="Century Gothic" w:hAnsi="Century Gothic"/>
        </w:rPr>
        <w:t xml:space="preserve">; </w:t>
      </w:r>
      <w:proofErr w:type="spellStart"/>
      <w:r w:rsidR="00616915">
        <w:rPr>
          <w:rFonts w:ascii="Century Gothic" w:hAnsi="Century Gothic"/>
        </w:rPr>
        <w:t>EdIndex</w:t>
      </w:r>
      <w:proofErr w:type="spellEnd"/>
      <w:r w:rsidR="00616915">
        <w:rPr>
          <w:rFonts w:ascii="Century Gothic" w:hAnsi="Century Gothic"/>
        </w:rPr>
        <w:t xml:space="preserve">, </w:t>
      </w:r>
      <w:proofErr w:type="spellStart"/>
      <w:r w:rsidR="00114CCE">
        <w:rPr>
          <w:rFonts w:ascii="Century Gothic" w:hAnsi="Century Gothic"/>
        </w:rPr>
        <w:t>Homesearch</w:t>
      </w:r>
      <w:proofErr w:type="spellEnd"/>
      <w:r w:rsidR="00616915">
        <w:rPr>
          <w:rFonts w:ascii="Century Gothic" w:hAnsi="Century Gothic"/>
        </w:rPr>
        <w:t xml:space="preserve"> </w:t>
      </w:r>
      <w:r w:rsidR="001C1E50" w:rsidRPr="00621FF1">
        <w:rPr>
          <w:rFonts w:ascii="Century Gothic" w:hAnsi="Century Gothic"/>
        </w:rPr>
        <w:t>and other agencies. If childr</w:t>
      </w:r>
      <w:r w:rsidR="001843E1" w:rsidRPr="00621FF1">
        <w:rPr>
          <w:rFonts w:ascii="Century Gothic" w:hAnsi="Century Gothic"/>
        </w:rPr>
        <w:t xml:space="preserve">en are </w:t>
      </w:r>
      <w:proofErr w:type="gramStart"/>
      <w:r w:rsidR="001843E1" w:rsidRPr="00621FF1">
        <w:rPr>
          <w:rFonts w:ascii="Century Gothic" w:hAnsi="Century Gothic"/>
        </w:rPr>
        <w:t>involved</w:t>
      </w:r>
      <w:proofErr w:type="gramEnd"/>
      <w:r w:rsidR="001843E1" w:rsidRPr="00621FF1">
        <w:rPr>
          <w:rFonts w:ascii="Century Gothic" w:hAnsi="Century Gothic"/>
        </w:rPr>
        <w:t xml:space="preserve"> then the partner</w:t>
      </w:r>
      <w:r w:rsidR="001C1E50" w:rsidRPr="00621FF1">
        <w:rPr>
          <w:rFonts w:ascii="Century Gothic" w:hAnsi="Century Gothic"/>
        </w:rPr>
        <w:t xml:space="preserve"> keeping the</w:t>
      </w:r>
      <w:r w:rsidR="008E50B6" w:rsidRPr="00621FF1">
        <w:rPr>
          <w:rFonts w:ascii="Century Gothic" w:hAnsi="Century Gothic"/>
        </w:rPr>
        <w:t>ir</w:t>
      </w:r>
      <w:r w:rsidR="001C1E50" w:rsidRPr="00621FF1">
        <w:rPr>
          <w:rFonts w:ascii="Century Gothic" w:hAnsi="Century Gothic"/>
        </w:rPr>
        <w:t xml:space="preserve"> children</w:t>
      </w:r>
      <w:r w:rsidR="001843E1" w:rsidRPr="00621FF1">
        <w:rPr>
          <w:rFonts w:ascii="Century Gothic" w:hAnsi="Century Gothic"/>
        </w:rPr>
        <w:t xml:space="preserve"> </w:t>
      </w:r>
      <w:r w:rsidR="001C1E50" w:rsidRPr="00621FF1">
        <w:rPr>
          <w:rFonts w:ascii="Century Gothic" w:hAnsi="Century Gothic"/>
        </w:rPr>
        <w:t xml:space="preserve">will usually be expected to remain in the family home. </w:t>
      </w:r>
    </w:p>
    <w:p w14:paraId="1091E41C" w14:textId="77777777" w:rsidR="00DE1026" w:rsidRPr="008E50B6" w:rsidRDefault="00DE1026" w:rsidP="00DE1026">
      <w:pPr>
        <w:rPr>
          <w:rStyle w:val="BookTitle"/>
          <w:rFonts w:ascii="Verdana" w:hAnsi="Verdana"/>
        </w:rPr>
      </w:pPr>
      <w:r w:rsidRPr="008E50B6">
        <w:rPr>
          <w:rStyle w:val="BookTitle"/>
          <w:rFonts w:ascii="Verdana" w:hAnsi="Verdana"/>
        </w:rPr>
        <w:t>Legislation</w:t>
      </w:r>
    </w:p>
    <w:p w14:paraId="47E8C051" w14:textId="77777777" w:rsidR="00DE1026" w:rsidRPr="00621FF1" w:rsidRDefault="00DE1026" w:rsidP="00DE1026">
      <w:pPr>
        <w:spacing w:after="0"/>
        <w:rPr>
          <w:rFonts w:ascii="Century Gothic" w:hAnsi="Century Gothic"/>
        </w:rPr>
      </w:pPr>
      <w:r w:rsidRPr="00621FF1">
        <w:rPr>
          <w:rFonts w:ascii="Century Gothic" w:hAnsi="Century Gothic"/>
        </w:rPr>
        <w:t>Matrimonial homes (family protection) (Scotland) Act 1981</w:t>
      </w:r>
    </w:p>
    <w:p w14:paraId="4726BB77" w14:textId="77777777" w:rsidR="00DE1026" w:rsidRDefault="00811F64" w:rsidP="00DE1026">
      <w:pPr>
        <w:spacing w:after="0"/>
        <w:rPr>
          <w:rFonts w:ascii="Century Gothic" w:hAnsi="Century Gothic" w:cs="Arial"/>
          <w:szCs w:val="20"/>
          <w:lang w:val="en"/>
        </w:rPr>
      </w:pPr>
      <w:r>
        <w:rPr>
          <w:rFonts w:ascii="Century Gothic" w:hAnsi="Century Gothic" w:cs="Arial"/>
          <w:szCs w:val="20"/>
          <w:lang w:val="en"/>
        </w:rPr>
        <w:t>General Data Protection Regulation</w:t>
      </w:r>
    </w:p>
    <w:p w14:paraId="33F2AE7B" w14:textId="77777777" w:rsidR="00811F64" w:rsidRDefault="00811F64" w:rsidP="00DE1026">
      <w:pPr>
        <w:spacing w:after="0"/>
        <w:rPr>
          <w:rFonts w:ascii="Verdana" w:hAnsi="Verdana"/>
        </w:rPr>
      </w:pPr>
    </w:p>
    <w:p w14:paraId="001C6DE5" w14:textId="77777777" w:rsidR="001843E1" w:rsidRPr="008E50B6" w:rsidRDefault="001843E1" w:rsidP="0035576E">
      <w:pPr>
        <w:rPr>
          <w:rStyle w:val="BookTitle"/>
          <w:rFonts w:ascii="Verdana" w:hAnsi="Verdana"/>
        </w:rPr>
      </w:pPr>
      <w:r w:rsidRPr="008E50B6">
        <w:rPr>
          <w:rStyle w:val="BookTitle"/>
          <w:rFonts w:ascii="Verdana" w:hAnsi="Verdana"/>
        </w:rPr>
        <w:t>Confidentiality</w:t>
      </w:r>
    </w:p>
    <w:p w14:paraId="5DB0890F" w14:textId="77C4380B" w:rsidR="001843E1" w:rsidRPr="00621FF1" w:rsidRDefault="001843E1" w:rsidP="0035576E">
      <w:pPr>
        <w:rPr>
          <w:rFonts w:ascii="Century Gothic" w:hAnsi="Century Gothic"/>
        </w:rPr>
      </w:pPr>
      <w:r w:rsidRPr="00621FF1">
        <w:rPr>
          <w:rFonts w:ascii="Century Gothic" w:hAnsi="Century Gothic"/>
        </w:rPr>
        <w:t>Any information will be treated as strictly confidential</w:t>
      </w:r>
      <w:r w:rsidR="00B91B17">
        <w:rPr>
          <w:rFonts w:ascii="Century Gothic" w:hAnsi="Century Gothic"/>
        </w:rPr>
        <w:t xml:space="preserve"> in accordance with the Confidentiality P</w:t>
      </w:r>
      <w:r w:rsidR="00650D07" w:rsidRPr="00621FF1">
        <w:rPr>
          <w:rFonts w:ascii="Century Gothic" w:hAnsi="Century Gothic"/>
        </w:rPr>
        <w:t>olicy</w:t>
      </w:r>
      <w:r w:rsidRPr="00621FF1">
        <w:rPr>
          <w:rFonts w:ascii="Century Gothic" w:hAnsi="Century Gothic"/>
        </w:rPr>
        <w:t xml:space="preserve">. </w:t>
      </w:r>
      <w:r w:rsidR="00650D07" w:rsidRPr="00621FF1">
        <w:rPr>
          <w:rFonts w:ascii="Century Gothic" w:hAnsi="Century Gothic"/>
        </w:rPr>
        <w:t>I</w:t>
      </w:r>
      <w:r w:rsidRPr="00621FF1">
        <w:rPr>
          <w:rFonts w:ascii="Century Gothic" w:hAnsi="Century Gothic"/>
        </w:rPr>
        <w:t>nformation will only be shared within the association</w:t>
      </w:r>
      <w:r w:rsidR="00650D07" w:rsidRPr="00621FF1">
        <w:rPr>
          <w:rFonts w:ascii="Century Gothic" w:hAnsi="Century Gothic"/>
        </w:rPr>
        <w:t xml:space="preserve">, predominately </w:t>
      </w:r>
      <w:r w:rsidR="002C67EE">
        <w:rPr>
          <w:rFonts w:ascii="Century Gothic" w:hAnsi="Century Gothic"/>
        </w:rPr>
        <w:t>Housing Management</w:t>
      </w:r>
      <w:r w:rsidR="00650D07" w:rsidRPr="00621FF1">
        <w:rPr>
          <w:rFonts w:ascii="Century Gothic" w:hAnsi="Century Gothic"/>
        </w:rPr>
        <w:t>,</w:t>
      </w:r>
      <w:r w:rsidRPr="00621FF1">
        <w:rPr>
          <w:rFonts w:ascii="Century Gothic" w:hAnsi="Century Gothic"/>
        </w:rPr>
        <w:t xml:space="preserve"> by those who need to know</w:t>
      </w:r>
      <w:r w:rsidR="00650D07" w:rsidRPr="00621FF1">
        <w:rPr>
          <w:rFonts w:ascii="Century Gothic" w:hAnsi="Century Gothic"/>
        </w:rPr>
        <w:t xml:space="preserve">. Information will not be shared with the external </w:t>
      </w:r>
      <w:r w:rsidRPr="00621FF1">
        <w:rPr>
          <w:rFonts w:ascii="Century Gothic" w:hAnsi="Century Gothic"/>
        </w:rPr>
        <w:t xml:space="preserve">agencies without the prior consent </w:t>
      </w:r>
      <w:r w:rsidR="00650D07" w:rsidRPr="00621FF1">
        <w:rPr>
          <w:rFonts w:ascii="Century Gothic" w:hAnsi="Century Gothic"/>
        </w:rPr>
        <w:t xml:space="preserve">of the individual. </w:t>
      </w:r>
      <w:r w:rsidRPr="00621FF1">
        <w:rPr>
          <w:rFonts w:ascii="Century Gothic" w:hAnsi="Century Gothic"/>
        </w:rPr>
        <w:t xml:space="preserve">The only exception to this will be where a person’s safety or well-being </w:t>
      </w:r>
      <w:proofErr w:type="gramStart"/>
      <w:r w:rsidRPr="00621FF1">
        <w:rPr>
          <w:rFonts w:ascii="Century Gothic" w:hAnsi="Century Gothic"/>
        </w:rPr>
        <w:t>is considered to be</w:t>
      </w:r>
      <w:proofErr w:type="gramEnd"/>
      <w:r w:rsidRPr="00621FF1">
        <w:rPr>
          <w:rFonts w:ascii="Century Gothic" w:hAnsi="Century Gothic"/>
        </w:rPr>
        <w:t xml:space="preserve"> at risk</w:t>
      </w:r>
      <w:r w:rsidR="00650D07" w:rsidRPr="00621FF1">
        <w:rPr>
          <w:rFonts w:ascii="Century Gothic" w:hAnsi="Century Gothic"/>
        </w:rPr>
        <w:t xml:space="preserve"> (Refer to Safeguarding Vulnerable Adults)</w:t>
      </w:r>
      <w:r w:rsidRPr="00621FF1">
        <w:rPr>
          <w:rFonts w:ascii="Century Gothic" w:hAnsi="Century Gothic"/>
        </w:rPr>
        <w:t>.</w:t>
      </w:r>
      <w:r w:rsidR="00650D07" w:rsidRPr="00621FF1">
        <w:rPr>
          <w:rFonts w:ascii="Century Gothic" w:hAnsi="Century Gothic"/>
        </w:rPr>
        <w:t xml:space="preserve"> It is important that confidentiality is respected. </w:t>
      </w:r>
    </w:p>
    <w:p w14:paraId="5886FE5C" w14:textId="77777777" w:rsidR="00F27E64" w:rsidRPr="00621FF1" w:rsidRDefault="00650D07" w:rsidP="0035576E">
      <w:pPr>
        <w:rPr>
          <w:rFonts w:ascii="Century Gothic" w:hAnsi="Century Gothic"/>
        </w:rPr>
      </w:pPr>
      <w:r w:rsidRPr="00621FF1">
        <w:rPr>
          <w:rFonts w:ascii="Century Gothic" w:hAnsi="Century Gothic"/>
        </w:rPr>
        <w:t>Staff must obtain consent from the individuals before sharing information with external agencies.</w:t>
      </w:r>
    </w:p>
    <w:p w14:paraId="4DD8E597" w14:textId="77777777" w:rsidR="004E18F7" w:rsidRPr="004E18F7" w:rsidRDefault="00616915" w:rsidP="0035576E">
      <w:pPr>
        <w:rPr>
          <w:rStyle w:val="BookTitle"/>
          <w:rFonts w:ascii="Verdana" w:hAnsi="Verdana"/>
          <w:sz w:val="24"/>
        </w:rPr>
      </w:pPr>
      <w:r w:rsidRPr="004E18F7">
        <w:rPr>
          <w:rStyle w:val="BookTitle"/>
          <w:rFonts w:ascii="Verdana" w:hAnsi="Verdana"/>
          <w:sz w:val="24"/>
        </w:rPr>
        <w:t>SOLE TENANCY</w:t>
      </w:r>
    </w:p>
    <w:p w14:paraId="14ECA75A" w14:textId="77777777" w:rsidR="004E18F7" w:rsidRPr="003F2A07" w:rsidRDefault="001F720E" w:rsidP="008E50B6">
      <w:pPr>
        <w:spacing w:after="0"/>
        <w:rPr>
          <w:rFonts w:ascii="Century Gothic" w:hAnsi="Century Gothic"/>
        </w:rPr>
      </w:pPr>
      <w:r w:rsidRPr="003F2A07">
        <w:rPr>
          <w:rFonts w:ascii="Century Gothic" w:hAnsi="Century Gothic"/>
        </w:rPr>
        <w:t xml:space="preserve">Tenant Remains in Property: </w:t>
      </w:r>
    </w:p>
    <w:p w14:paraId="55DCE4D6" w14:textId="77777777" w:rsidR="004E18F7" w:rsidRPr="003F2A07" w:rsidRDefault="001F720E" w:rsidP="008E50B6">
      <w:pPr>
        <w:spacing w:after="0"/>
        <w:rPr>
          <w:rFonts w:ascii="Century Gothic" w:hAnsi="Century Gothic"/>
        </w:rPr>
      </w:pPr>
      <w:r w:rsidRPr="003F2A07">
        <w:rPr>
          <w:rFonts w:ascii="Century Gothic" w:hAnsi="Century Gothic"/>
        </w:rPr>
        <w:t>If it is agreed that the non-tenant partner is going to move out</w:t>
      </w:r>
      <w:r w:rsidR="008E50B6" w:rsidRPr="003F2A07">
        <w:rPr>
          <w:rFonts w:ascii="Century Gothic" w:hAnsi="Century Gothic"/>
        </w:rPr>
        <w:t xml:space="preserve"> of the property, a new</w:t>
      </w:r>
      <w:r w:rsidR="00F86489" w:rsidRPr="003F2A07">
        <w:rPr>
          <w:rFonts w:ascii="Century Gothic" w:hAnsi="Century Gothic"/>
        </w:rPr>
        <w:t xml:space="preserve"> household</w:t>
      </w:r>
      <w:r w:rsidR="008E50B6" w:rsidRPr="003F2A07">
        <w:rPr>
          <w:rFonts w:ascii="Century Gothic" w:hAnsi="Century Gothic"/>
        </w:rPr>
        <w:t xml:space="preserve"> composition needs to be completed. No further action is required; a home visit should be offered alternatively the household composition can be sent </w:t>
      </w:r>
      <w:r w:rsidR="008E50B6" w:rsidRPr="003F2A07">
        <w:rPr>
          <w:rFonts w:ascii="Century Gothic" w:hAnsi="Century Gothic"/>
        </w:rPr>
        <w:lastRenderedPageBreak/>
        <w:t>via the post</w:t>
      </w:r>
      <w:r w:rsidR="00F86489" w:rsidRPr="003F2A07">
        <w:rPr>
          <w:rFonts w:ascii="Century Gothic" w:hAnsi="Century Gothic"/>
        </w:rPr>
        <w:t xml:space="preserve">. </w:t>
      </w:r>
      <w:r w:rsidRPr="003F2A07">
        <w:rPr>
          <w:rFonts w:ascii="Century Gothic" w:hAnsi="Century Gothic"/>
        </w:rPr>
        <w:t xml:space="preserve">This is regardless if the tenant and non-tenant are married in a civil partnership or were partners. </w:t>
      </w:r>
    </w:p>
    <w:p w14:paraId="1643C7FA" w14:textId="77777777" w:rsidR="004E18F7" w:rsidRPr="003F2A07" w:rsidRDefault="004E18F7" w:rsidP="004E18F7">
      <w:pPr>
        <w:spacing w:after="0"/>
        <w:rPr>
          <w:rFonts w:ascii="Century Gothic" w:hAnsi="Century Gothic"/>
        </w:rPr>
      </w:pPr>
    </w:p>
    <w:p w14:paraId="415B7A51" w14:textId="77777777" w:rsidR="001F720E" w:rsidRPr="003F2A07" w:rsidRDefault="00786D39" w:rsidP="00786D39">
      <w:pPr>
        <w:spacing w:after="0"/>
        <w:rPr>
          <w:rFonts w:ascii="Century Gothic" w:hAnsi="Century Gothic"/>
        </w:rPr>
      </w:pPr>
      <w:r w:rsidRPr="003F2A07">
        <w:rPr>
          <w:rFonts w:ascii="Century Gothic" w:hAnsi="Century Gothic"/>
        </w:rPr>
        <w:t xml:space="preserve">Internal Reporting Requirements (IRR): </w:t>
      </w:r>
      <w:r w:rsidR="008E50B6" w:rsidRPr="003F2A07">
        <w:rPr>
          <w:rFonts w:ascii="Century Gothic" w:hAnsi="Century Gothic"/>
        </w:rPr>
        <w:t>The H</w:t>
      </w:r>
      <w:r w:rsidR="001F720E" w:rsidRPr="003F2A07">
        <w:rPr>
          <w:rFonts w:ascii="Century Gothic" w:hAnsi="Century Gothic"/>
        </w:rPr>
        <w:t xml:space="preserve">ousing </w:t>
      </w:r>
      <w:r w:rsidR="008E50B6" w:rsidRPr="003F2A07">
        <w:rPr>
          <w:rFonts w:ascii="Century Gothic" w:hAnsi="Century Gothic"/>
        </w:rPr>
        <w:t>O</w:t>
      </w:r>
      <w:r w:rsidR="00F27E64" w:rsidRPr="003F2A07">
        <w:rPr>
          <w:rFonts w:ascii="Century Gothic" w:hAnsi="Century Gothic"/>
        </w:rPr>
        <w:t xml:space="preserve">fficer </w:t>
      </w:r>
      <w:r w:rsidRPr="003F2A07">
        <w:rPr>
          <w:rFonts w:ascii="Century Gothic" w:hAnsi="Century Gothic"/>
        </w:rPr>
        <w:t>must c</w:t>
      </w:r>
      <w:r w:rsidR="001F720E" w:rsidRPr="003F2A07">
        <w:rPr>
          <w:rFonts w:ascii="Century Gothic" w:hAnsi="Century Gothic"/>
        </w:rPr>
        <w:t>omplete a new household composition</w:t>
      </w:r>
      <w:r w:rsidRPr="003F2A07">
        <w:rPr>
          <w:rFonts w:ascii="Century Gothic" w:hAnsi="Century Gothic"/>
        </w:rPr>
        <w:t xml:space="preserve"> and u</w:t>
      </w:r>
      <w:r w:rsidR="001F720E" w:rsidRPr="003F2A07">
        <w:rPr>
          <w:rFonts w:ascii="Century Gothic" w:hAnsi="Century Gothic"/>
        </w:rPr>
        <w:t>pdate Northgate by entering the leaving date of the non-tenant</w:t>
      </w:r>
      <w:r w:rsidRPr="003F2A07">
        <w:rPr>
          <w:rFonts w:ascii="Century Gothic" w:hAnsi="Century Gothic"/>
        </w:rPr>
        <w:t>. Any home or office visit must be logged on Customer Contacts on Northgate.</w:t>
      </w:r>
    </w:p>
    <w:p w14:paraId="6D704D9D" w14:textId="77777777" w:rsidR="00786D39" w:rsidRPr="003F2A07" w:rsidRDefault="00786D39" w:rsidP="00786D39">
      <w:pPr>
        <w:spacing w:after="0"/>
        <w:rPr>
          <w:rFonts w:ascii="Century Gothic" w:hAnsi="Century Gothic"/>
        </w:rPr>
      </w:pPr>
    </w:p>
    <w:p w14:paraId="085E7839" w14:textId="77777777" w:rsidR="00F86489" w:rsidRPr="003F2A07" w:rsidRDefault="001F720E" w:rsidP="00F86489">
      <w:pPr>
        <w:spacing w:after="0"/>
        <w:rPr>
          <w:rFonts w:ascii="Century Gothic" w:hAnsi="Century Gothic"/>
        </w:rPr>
      </w:pPr>
      <w:r w:rsidRPr="003F2A07">
        <w:rPr>
          <w:rFonts w:ascii="Century Gothic" w:hAnsi="Century Gothic"/>
        </w:rPr>
        <w:t xml:space="preserve">Sole Tenant Decides to Move: </w:t>
      </w:r>
    </w:p>
    <w:p w14:paraId="2B36E3AC" w14:textId="77777777" w:rsidR="001F720E" w:rsidRPr="003F2A07" w:rsidRDefault="00B1682C" w:rsidP="00F86489">
      <w:pPr>
        <w:spacing w:after="0"/>
        <w:rPr>
          <w:rFonts w:ascii="Century Gothic" w:hAnsi="Century Gothic"/>
        </w:rPr>
      </w:pPr>
      <w:r w:rsidRPr="003F2A07">
        <w:rPr>
          <w:rFonts w:ascii="Century Gothic" w:hAnsi="Century Gothic"/>
        </w:rPr>
        <w:t xml:space="preserve">If the sole tenant requests the tenancy to be signed over to the non-tenant; this would be classed as an assignation request. Please refer to and follow </w:t>
      </w:r>
      <w:r w:rsidR="00786D39" w:rsidRPr="003F2A07">
        <w:rPr>
          <w:rFonts w:ascii="Century Gothic" w:hAnsi="Century Gothic"/>
        </w:rPr>
        <w:t>the Assignation procedure</w:t>
      </w:r>
      <w:r w:rsidR="00C77C76">
        <w:rPr>
          <w:rFonts w:ascii="Century Gothic" w:hAnsi="Century Gothic"/>
        </w:rPr>
        <w:t xml:space="preserve"> </w:t>
      </w:r>
      <w:hyperlink r:id="rId9" w:history="1">
        <w:r w:rsidR="00C77C76" w:rsidRPr="00C77C76">
          <w:rPr>
            <w:rStyle w:val="Hyperlink"/>
            <w:rFonts w:ascii="Century Gothic" w:hAnsi="Century Gothic"/>
          </w:rPr>
          <w:t>HM PRO - Assignation.docx</w:t>
        </w:r>
      </w:hyperlink>
      <w:r w:rsidRPr="003F2A07">
        <w:rPr>
          <w:rFonts w:ascii="Century Gothic" w:hAnsi="Century Gothic"/>
        </w:rPr>
        <w:t xml:space="preserve">. </w:t>
      </w:r>
      <w:r w:rsidR="00786D39" w:rsidRPr="003F2A07">
        <w:rPr>
          <w:rFonts w:ascii="Century Gothic" w:hAnsi="Century Gothic"/>
        </w:rPr>
        <w:t>If the</w:t>
      </w:r>
      <w:r w:rsidRPr="003F2A07">
        <w:rPr>
          <w:rFonts w:ascii="Century Gothic" w:hAnsi="Century Gothic"/>
        </w:rPr>
        <w:t xml:space="preserve"> assignation is approved the non-tenant will become the tenant. This is regardless of the tenant and the non-tenant being married, in a civil partnership or partners.</w:t>
      </w:r>
      <w:r w:rsidR="004C096F" w:rsidRPr="003F2A07">
        <w:rPr>
          <w:rFonts w:ascii="Century Gothic" w:hAnsi="Century Gothic"/>
        </w:rPr>
        <w:t xml:space="preserve"> If the proposed assignee does not meet the Assignation criteria the tenancy will be </w:t>
      </w:r>
      <w:proofErr w:type="gramStart"/>
      <w:r w:rsidR="004C096F" w:rsidRPr="003F2A07">
        <w:rPr>
          <w:rFonts w:ascii="Century Gothic" w:hAnsi="Century Gothic"/>
        </w:rPr>
        <w:t>brought to an end</w:t>
      </w:r>
      <w:proofErr w:type="gramEnd"/>
      <w:r w:rsidR="004C096F" w:rsidRPr="003F2A07">
        <w:rPr>
          <w:rFonts w:ascii="Century Gothic" w:hAnsi="Century Gothic"/>
        </w:rPr>
        <w:t>, refer to End of Tenancy Procedure</w:t>
      </w:r>
      <w:r w:rsidR="00C77C76">
        <w:rPr>
          <w:rFonts w:ascii="Century Gothic" w:hAnsi="Century Gothic"/>
        </w:rPr>
        <w:t xml:space="preserve"> </w:t>
      </w:r>
      <w:hyperlink r:id="rId10" w:history="1">
        <w:r w:rsidR="00C77C76" w:rsidRPr="00C77C76">
          <w:rPr>
            <w:rStyle w:val="Hyperlink"/>
            <w:rFonts w:ascii="Century Gothic" w:hAnsi="Century Gothic"/>
          </w:rPr>
          <w:t>HM PRO - End of Tenancy.docx</w:t>
        </w:r>
      </w:hyperlink>
      <w:r w:rsidR="004C096F" w:rsidRPr="003F2A07">
        <w:rPr>
          <w:rFonts w:ascii="Century Gothic" w:hAnsi="Century Gothic"/>
        </w:rPr>
        <w:t xml:space="preserve"> to complete action.</w:t>
      </w:r>
    </w:p>
    <w:p w14:paraId="73C90377" w14:textId="77777777" w:rsidR="00F86489" w:rsidRPr="003F2A07" w:rsidRDefault="00F86489" w:rsidP="00F86489">
      <w:pPr>
        <w:spacing w:after="0"/>
        <w:rPr>
          <w:rFonts w:ascii="Century Gothic" w:hAnsi="Century Gothic"/>
        </w:rPr>
      </w:pPr>
    </w:p>
    <w:p w14:paraId="0196DF1A" w14:textId="77777777" w:rsidR="00B1682C" w:rsidRPr="003F2A07" w:rsidRDefault="00B1682C" w:rsidP="001F720E">
      <w:pPr>
        <w:rPr>
          <w:rFonts w:ascii="Century Gothic" w:hAnsi="Century Gothic"/>
        </w:rPr>
      </w:pPr>
      <w:r w:rsidRPr="003F2A07">
        <w:rPr>
          <w:rFonts w:ascii="Century Gothic" w:hAnsi="Century Gothic"/>
        </w:rPr>
        <w:t xml:space="preserve">Once the tenancy has been assigned over, the former tenant has the option to bid for housing again and they will be assessed in accordance with our </w:t>
      </w:r>
      <w:r w:rsidR="004C096F" w:rsidRPr="003F2A07">
        <w:rPr>
          <w:rFonts w:ascii="Century Gothic" w:hAnsi="Century Gothic"/>
        </w:rPr>
        <w:t>A</w:t>
      </w:r>
      <w:r w:rsidRPr="003F2A07">
        <w:rPr>
          <w:rFonts w:ascii="Century Gothic" w:hAnsi="Century Gothic"/>
        </w:rPr>
        <w:t xml:space="preserve">llocations </w:t>
      </w:r>
      <w:r w:rsidR="00BB2576">
        <w:rPr>
          <w:rFonts w:ascii="Century Gothic" w:hAnsi="Century Gothic"/>
        </w:rPr>
        <w:t>P</w:t>
      </w:r>
      <w:r w:rsidRPr="003F2A07">
        <w:rPr>
          <w:rFonts w:ascii="Century Gothic" w:hAnsi="Century Gothic"/>
        </w:rPr>
        <w:t xml:space="preserve">olicy. They will be unable to apply for a transfer and we have no legal obligation to re-house them. You should make this clear when giving housing advice. </w:t>
      </w:r>
    </w:p>
    <w:p w14:paraId="13F98718" w14:textId="77777777" w:rsidR="00794335" w:rsidRPr="003F2A07" w:rsidRDefault="004C096F" w:rsidP="004C096F">
      <w:pPr>
        <w:spacing w:after="0"/>
        <w:rPr>
          <w:rFonts w:ascii="Century Gothic" w:hAnsi="Century Gothic"/>
        </w:rPr>
      </w:pPr>
      <w:r w:rsidRPr="003F2A07">
        <w:rPr>
          <w:rFonts w:ascii="Century Gothic" w:hAnsi="Century Gothic"/>
        </w:rPr>
        <w:t>IRR - The H</w:t>
      </w:r>
      <w:r w:rsidR="00794335" w:rsidRPr="003F2A07">
        <w:rPr>
          <w:rFonts w:ascii="Century Gothic" w:hAnsi="Century Gothic"/>
        </w:rPr>
        <w:t xml:space="preserve">ousing </w:t>
      </w:r>
      <w:r w:rsidRPr="003F2A07">
        <w:rPr>
          <w:rFonts w:ascii="Century Gothic" w:hAnsi="Century Gothic"/>
        </w:rPr>
        <w:t>Officer must i</w:t>
      </w:r>
      <w:r w:rsidR="00794335" w:rsidRPr="003F2A07">
        <w:rPr>
          <w:rFonts w:ascii="Century Gothic" w:hAnsi="Century Gothic"/>
        </w:rPr>
        <w:t>nform the customer that this process is known as an Assignation and what the process is</w:t>
      </w:r>
      <w:r w:rsidRPr="003F2A07">
        <w:rPr>
          <w:rFonts w:ascii="Century Gothic" w:hAnsi="Century Gothic"/>
        </w:rPr>
        <w:t xml:space="preserve">. </w:t>
      </w:r>
      <w:r w:rsidR="00794335" w:rsidRPr="003F2A07">
        <w:rPr>
          <w:rFonts w:ascii="Century Gothic" w:hAnsi="Century Gothic"/>
        </w:rPr>
        <w:t>Fol</w:t>
      </w:r>
      <w:r w:rsidRPr="003F2A07">
        <w:rPr>
          <w:rFonts w:ascii="Century Gothic" w:hAnsi="Century Gothic"/>
        </w:rPr>
        <w:t>low the Assignation Procedure and c</w:t>
      </w:r>
      <w:r w:rsidR="00794335" w:rsidRPr="003F2A07">
        <w:rPr>
          <w:rFonts w:ascii="Century Gothic" w:hAnsi="Century Gothic"/>
        </w:rPr>
        <w:t>omplete within 28 days</w:t>
      </w:r>
      <w:r w:rsidRPr="003F2A07">
        <w:rPr>
          <w:rFonts w:ascii="Century Gothic" w:hAnsi="Century Gothic"/>
        </w:rPr>
        <w:t>.</w:t>
      </w:r>
    </w:p>
    <w:p w14:paraId="66C0625C" w14:textId="77777777" w:rsidR="004C096F" w:rsidRPr="003F2A07" w:rsidRDefault="004C096F" w:rsidP="004C096F">
      <w:pPr>
        <w:spacing w:after="0"/>
        <w:rPr>
          <w:rFonts w:ascii="Century Gothic" w:hAnsi="Century Gothic"/>
        </w:rPr>
      </w:pPr>
    </w:p>
    <w:p w14:paraId="7D8A4310" w14:textId="77777777" w:rsidR="00F86489" w:rsidRPr="003F2A07" w:rsidRDefault="00B1682C" w:rsidP="00F86489">
      <w:pPr>
        <w:spacing w:after="0"/>
        <w:rPr>
          <w:rFonts w:ascii="Century Gothic" w:hAnsi="Century Gothic"/>
        </w:rPr>
      </w:pPr>
      <w:r w:rsidRPr="003F2A07">
        <w:rPr>
          <w:rFonts w:ascii="Century Gothic" w:hAnsi="Century Gothic"/>
        </w:rPr>
        <w:t xml:space="preserve">Where the sole tenant has abandoned due to relationship breakdown: </w:t>
      </w:r>
    </w:p>
    <w:p w14:paraId="3C3BCB07" w14:textId="77777777" w:rsidR="00DE555C" w:rsidRPr="003F2A07" w:rsidRDefault="00B1682C" w:rsidP="00F86489">
      <w:pPr>
        <w:spacing w:after="0"/>
        <w:rPr>
          <w:rFonts w:ascii="Century Gothic" w:hAnsi="Century Gothic"/>
        </w:rPr>
      </w:pPr>
      <w:r w:rsidRPr="003F2A07">
        <w:rPr>
          <w:rFonts w:ascii="Century Gothic" w:hAnsi="Century Gothic"/>
        </w:rPr>
        <w:t>If the non-tenant contacts us to advise that the sole tenant has abandoned their tenancy and the</w:t>
      </w:r>
      <w:r w:rsidR="004A337C" w:rsidRPr="003F2A07">
        <w:rPr>
          <w:rFonts w:ascii="Century Gothic" w:hAnsi="Century Gothic"/>
        </w:rPr>
        <w:t xml:space="preserve"> non-tenant is living in the property, the H</w:t>
      </w:r>
      <w:r w:rsidR="00DE555C" w:rsidRPr="003F2A07">
        <w:rPr>
          <w:rFonts w:ascii="Century Gothic" w:hAnsi="Century Gothic"/>
        </w:rPr>
        <w:t>ousing Officer should serve 1</w:t>
      </w:r>
      <w:r w:rsidR="00DE555C" w:rsidRPr="003F2A07">
        <w:rPr>
          <w:rFonts w:ascii="Century Gothic" w:hAnsi="Century Gothic"/>
          <w:vertAlign w:val="superscript"/>
        </w:rPr>
        <w:t>st</w:t>
      </w:r>
      <w:r w:rsidR="00DE555C" w:rsidRPr="003F2A07">
        <w:rPr>
          <w:rFonts w:ascii="Century Gothic" w:hAnsi="Century Gothic"/>
        </w:rPr>
        <w:t xml:space="preserve"> Abandonment Notice</w:t>
      </w:r>
      <w:r w:rsidR="004A337C" w:rsidRPr="003F2A07">
        <w:rPr>
          <w:rFonts w:ascii="Century Gothic" w:hAnsi="Century Gothic"/>
        </w:rPr>
        <w:t xml:space="preserve"> on the property. This allows the tenant 28 days to get back in contact with us. </w:t>
      </w:r>
      <w:r w:rsidR="00DE555C" w:rsidRPr="003F2A07">
        <w:rPr>
          <w:rFonts w:ascii="Century Gothic" w:hAnsi="Century Gothic"/>
        </w:rPr>
        <w:t xml:space="preserve">If no contact is received by the </w:t>
      </w:r>
      <w:proofErr w:type="gramStart"/>
      <w:r w:rsidR="00DE555C" w:rsidRPr="003F2A07">
        <w:rPr>
          <w:rFonts w:ascii="Century Gothic" w:hAnsi="Century Gothic"/>
        </w:rPr>
        <w:t>tenant</w:t>
      </w:r>
      <w:proofErr w:type="gramEnd"/>
      <w:r w:rsidR="00DE555C" w:rsidRPr="003F2A07">
        <w:rPr>
          <w:rFonts w:ascii="Century Gothic" w:hAnsi="Century Gothic"/>
        </w:rPr>
        <w:t xml:space="preserve"> then their tenancy will be brought to an end on the 29</w:t>
      </w:r>
      <w:r w:rsidR="00DE555C" w:rsidRPr="003F2A07">
        <w:rPr>
          <w:rFonts w:ascii="Century Gothic" w:hAnsi="Century Gothic"/>
          <w:vertAlign w:val="superscript"/>
        </w:rPr>
        <w:t>th</w:t>
      </w:r>
      <w:r w:rsidR="00DE555C" w:rsidRPr="003F2A07">
        <w:rPr>
          <w:rFonts w:ascii="Century Gothic" w:hAnsi="Century Gothic"/>
        </w:rPr>
        <w:t xml:space="preserve"> day or next working day. Please follow the Abandonment Procedure</w:t>
      </w:r>
      <w:r w:rsidR="00C77C76">
        <w:rPr>
          <w:rFonts w:ascii="Century Gothic" w:hAnsi="Century Gothic"/>
        </w:rPr>
        <w:t xml:space="preserve"> </w:t>
      </w:r>
      <w:hyperlink r:id="rId11" w:history="1">
        <w:r w:rsidR="00C77C76" w:rsidRPr="00C77C76">
          <w:rPr>
            <w:rStyle w:val="Hyperlink"/>
            <w:rFonts w:ascii="Century Gothic" w:hAnsi="Century Gothic"/>
          </w:rPr>
          <w:t>HM PRO - Abandonment.docx</w:t>
        </w:r>
      </w:hyperlink>
      <w:r w:rsidR="00DE555C" w:rsidRPr="003F2A07">
        <w:rPr>
          <w:rFonts w:ascii="Century Gothic" w:hAnsi="Century Gothic"/>
        </w:rPr>
        <w:t>.</w:t>
      </w:r>
    </w:p>
    <w:p w14:paraId="5CE89C17" w14:textId="77777777" w:rsidR="00DE555C" w:rsidRPr="003F2A07" w:rsidRDefault="00DE555C" w:rsidP="00F86489">
      <w:pPr>
        <w:spacing w:after="0"/>
        <w:rPr>
          <w:rFonts w:ascii="Century Gothic" w:hAnsi="Century Gothic"/>
        </w:rPr>
      </w:pPr>
    </w:p>
    <w:p w14:paraId="62B9024F" w14:textId="70FFD06A" w:rsidR="00794335" w:rsidRPr="003F2A07" w:rsidRDefault="004A337C" w:rsidP="00794335">
      <w:pPr>
        <w:spacing w:after="0"/>
        <w:rPr>
          <w:rFonts w:ascii="Century Gothic" w:hAnsi="Century Gothic"/>
        </w:rPr>
      </w:pPr>
      <w:r w:rsidRPr="003F2A07">
        <w:rPr>
          <w:rFonts w:ascii="Century Gothic" w:hAnsi="Century Gothic"/>
        </w:rPr>
        <w:t>Housing Officers need to gather as much information about the n</w:t>
      </w:r>
      <w:r w:rsidR="00DE555C" w:rsidRPr="003F2A07">
        <w:rPr>
          <w:rFonts w:ascii="Century Gothic" w:hAnsi="Century Gothic"/>
        </w:rPr>
        <w:t>on-tenant living in the property using the occupant interview sheet</w:t>
      </w:r>
      <w:r w:rsidR="00872314">
        <w:rPr>
          <w:rFonts w:ascii="Century Gothic" w:hAnsi="Century Gothic"/>
        </w:rPr>
        <w:t xml:space="preserve"> (Part of the Abandonment procedure)</w:t>
      </w:r>
      <w:r w:rsidR="00DE555C" w:rsidRPr="003F2A07">
        <w:rPr>
          <w:rFonts w:ascii="Century Gothic" w:hAnsi="Century Gothic"/>
        </w:rPr>
        <w:t xml:space="preserve">. Once this has been completed the Housing Officer needs to check Northgate and Objective to check if the non-tenant is registered as living there. If the non-tenant has been living there for less than </w:t>
      </w:r>
      <w:r w:rsidR="00FB354B">
        <w:rPr>
          <w:rFonts w:ascii="Century Gothic" w:hAnsi="Century Gothic"/>
        </w:rPr>
        <w:t>12</w:t>
      </w:r>
      <w:r w:rsidR="00DE555C" w:rsidRPr="003F2A07">
        <w:rPr>
          <w:rFonts w:ascii="Century Gothic" w:hAnsi="Century Gothic"/>
        </w:rPr>
        <w:t xml:space="preserve"> months, has a tenancy elsewhere, cannot prove they have occupied the property as their </w:t>
      </w:r>
      <w:proofErr w:type="gramStart"/>
      <w:r w:rsidR="00DE555C" w:rsidRPr="003F2A07">
        <w:rPr>
          <w:rFonts w:ascii="Century Gothic" w:hAnsi="Century Gothic"/>
        </w:rPr>
        <w:t>principle</w:t>
      </w:r>
      <w:proofErr w:type="gramEnd"/>
      <w:r w:rsidR="00DE555C" w:rsidRPr="003F2A07">
        <w:rPr>
          <w:rFonts w:ascii="Century Gothic" w:hAnsi="Century Gothic"/>
        </w:rPr>
        <w:t xml:space="preserve"> home the non-tenant will not be offered the tenancy and housing advice should be given and a date that they must vacate the property by. This must be confirmed in writing and saved on our tenancy file. This will be classed as an illegal occupant. </w:t>
      </w:r>
    </w:p>
    <w:p w14:paraId="6E9A7660" w14:textId="77777777" w:rsidR="00DE555C" w:rsidRPr="003F2A07" w:rsidRDefault="00DE555C" w:rsidP="00794335">
      <w:pPr>
        <w:spacing w:after="0"/>
        <w:rPr>
          <w:rFonts w:ascii="Century Gothic" w:hAnsi="Century Gothic"/>
        </w:rPr>
      </w:pPr>
    </w:p>
    <w:p w14:paraId="36BC2D5F" w14:textId="4BBA6D88" w:rsidR="004C096F" w:rsidRPr="003F2A07" w:rsidRDefault="004C096F" w:rsidP="004C096F">
      <w:pPr>
        <w:rPr>
          <w:rFonts w:ascii="Century Gothic" w:hAnsi="Century Gothic"/>
        </w:rPr>
      </w:pPr>
      <w:r w:rsidRPr="003F2A07">
        <w:rPr>
          <w:rFonts w:ascii="Century Gothic" w:hAnsi="Century Gothic"/>
        </w:rPr>
        <w:lastRenderedPageBreak/>
        <w:t xml:space="preserve">Non tenant partners who are married or in a civil partnership have occupancy rights to the property and are known as the ‘non entitled spouse/partner’. </w:t>
      </w:r>
      <w:r w:rsidR="00DE555C" w:rsidRPr="003F2A07">
        <w:rPr>
          <w:rFonts w:ascii="Century Gothic" w:hAnsi="Century Gothic"/>
        </w:rPr>
        <w:t xml:space="preserve">The ‘non entitled spouse or partner’ will have a right to remain in the property. The Abandonment procedure should be </w:t>
      </w:r>
      <w:proofErr w:type="gramStart"/>
      <w:r w:rsidR="00DE555C" w:rsidRPr="003F2A07">
        <w:rPr>
          <w:rFonts w:ascii="Century Gothic" w:hAnsi="Century Gothic"/>
        </w:rPr>
        <w:t>followed</w:t>
      </w:r>
      <w:proofErr w:type="gramEnd"/>
      <w:r w:rsidR="00DE555C" w:rsidRPr="003F2A07">
        <w:rPr>
          <w:rFonts w:ascii="Century Gothic" w:hAnsi="Century Gothic"/>
        </w:rPr>
        <w:t xml:space="preserve"> and the occupant interview sheet should be completed. </w:t>
      </w:r>
      <w:r w:rsidRPr="003F2A07">
        <w:rPr>
          <w:rFonts w:ascii="Century Gothic" w:hAnsi="Century Gothic"/>
        </w:rPr>
        <w:t xml:space="preserve">Please refer to the Occupancy Rights Section for full details and speak with </w:t>
      </w:r>
      <w:r w:rsidR="00BB2576">
        <w:rPr>
          <w:rFonts w:ascii="Century Gothic" w:hAnsi="Century Gothic"/>
        </w:rPr>
        <w:t xml:space="preserve">a </w:t>
      </w:r>
      <w:r w:rsidR="002C67EE">
        <w:rPr>
          <w:rFonts w:ascii="Century Gothic" w:hAnsi="Century Gothic"/>
        </w:rPr>
        <w:t>Housing Management</w:t>
      </w:r>
      <w:r w:rsidR="00BB2576">
        <w:rPr>
          <w:rFonts w:ascii="Century Gothic" w:hAnsi="Century Gothic"/>
        </w:rPr>
        <w:t xml:space="preserve"> Team Leader</w:t>
      </w:r>
      <w:r w:rsidRPr="003F2A07">
        <w:rPr>
          <w:rFonts w:ascii="Century Gothic" w:hAnsi="Century Gothic"/>
        </w:rPr>
        <w:t xml:space="preserve"> before proceeding. </w:t>
      </w:r>
    </w:p>
    <w:p w14:paraId="6C256FF3" w14:textId="77777777" w:rsidR="00A31BAD" w:rsidRPr="004E18F7" w:rsidRDefault="00872314" w:rsidP="0035576E">
      <w:pPr>
        <w:rPr>
          <w:rStyle w:val="BookTitle"/>
          <w:rFonts w:ascii="Verdana" w:hAnsi="Verdana"/>
          <w:sz w:val="24"/>
        </w:rPr>
      </w:pPr>
      <w:r w:rsidRPr="004E18F7">
        <w:rPr>
          <w:rStyle w:val="BookTitle"/>
          <w:rFonts w:ascii="Verdana" w:hAnsi="Verdana"/>
          <w:sz w:val="24"/>
        </w:rPr>
        <w:t xml:space="preserve">JOINT TENANCY </w:t>
      </w:r>
    </w:p>
    <w:p w14:paraId="7344A054" w14:textId="77777777" w:rsidR="00BC3791" w:rsidRPr="003F2A07" w:rsidRDefault="00BC3791" w:rsidP="0035576E">
      <w:pPr>
        <w:rPr>
          <w:rFonts w:ascii="Century Gothic" w:hAnsi="Century Gothic"/>
        </w:rPr>
      </w:pPr>
      <w:r w:rsidRPr="003F2A07">
        <w:rPr>
          <w:rFonts w:ascii="Century Gothic" w:hAnsi="Century Gothic"/>
        </w:rPr>
        <w:t xml:space="preserve">There are three ways in </w:t>
      </w:r>
      <w:r w:rsidR="004A337C" w:rsidRPr="003F2A07">
        <w:rPr>
          <w:rFonts w:ascii="Century Gothic" w:hAnsi="Century Gothic"/>
        </w:rPr>
        <w:t>which a</w:t>
      </w:r>
      <w:r w:rsidRPr="003F2A07">
        <w:rPr>
          <w:rFonts w:ascii="Century Gothic" w:hAnsi="Century Gothic"/>
        </w:rPr>
        <w:t xml:space="preserve"> joint tenancy can be altered to a sole tenancy after a relationship breakdown: one tenant terminates their half of</w:t>
      </w:r>
      <w:r w:rsidR="004A337C" w:rsidRPr="003F2A07">
        <w:rPr>
          <w:rFonts w:ascii="Century Gothic" w:hAnsi="Century Gothic"/>
        </w:rPr>
        <w:t xml:space="preserve"> the tenancy, assign their half of their</w:t>
      </w:r>
      <w:r w:rsidRPr="003F2A07">
        <w:rPr>
          <w:rFonts w:ascii="Century Gothic" w:hAnsi="Century Gothic"/>
        </w:rPr>
        <w:t xml:space="preserve"> tenancy</w:t>
      </w:r>
      <w:r w:rsidR="004A337C" w:rsidRPr="003F2A07">
        <w:rPr>
          <w:rFonts w:ascii="Century Gothic" w:hAnsi="Century Gothic"/>
        </w:rPr>
        <w:t xml:space="preserve"> to one individual</w:t>
      </w:r>
      <w:r w:rsidRPr="003F2A07">
        <w:rPr>
          <w:rFonts w:ascii="Century Gothic" w:hAnsi="Century Gothic"/>
        </w:rPr>
        <w:t xml:space="preserve"> or abandonment of a joint tenancy. </w:t>
      </w:r>
    </w:p>
    <w:p w14:paraId="2AC7BBD1" w14:textId="77777777" w:rsidR="0012201C" w:rsidRPr="003F2A07" w:rsidRDefault="00BC3791" w:rsidP="0012201C">
      <w:pPr>
        <w:spacing w:after="0"/>
        <w:rPr>
          <w:rFonts w:ascii="Century Gothic" w:hAnsi="Century Gothic"/>
        </w:rPr>
      </w:pPr>
      <w:r w:rsidRPr="003F2A07">
        <w:rPr>
          <w:rFonts w:ascii="Century Gothic" w:hAnsi="Century Gothic"/>
        </w:rPr>
        <w:t xml:space="preserve">A Joint Tenant Terminates Their Half of the Tenancy: </w:t>
      </w:r>
    </w:p>
    <w:p w14:paraId="4B7CF9CC" w14:textId="77777777" w:rsidR="00FC7DCB" w:rsidRPr="003F2A07" w:rsidRDefault="0012201C" w:rsidP="0012201C">
      <w:pPr>
        <w:spacing w:after="0"/>
        <w:rPr>
          <w:rFonts w:ascii="Century Gothic" w:hAnsi="Century Gothic"/>
        </w:rPr>
      </w:pPr>
      <w:r w:rsidRPr="003F2A07">
        <w:rPr>
          <w:rFonts w:ascii="Century Gothic" w:hAnsi="Century Gothic"/>
        </w:rPr>
        <w:t>O</w:t>
      </w:r>
      <w:r w:rsidR="00FC7DCB" w:rsidRPr="003F2A07">
        <w:rPr>
          <w:rFonts w:ascii="Century Gothic" w:hAnsi="Century Gothic"/>
        </w:rPr>
        <w:t xml:space="preserve">nce the joint tenants have agreed who is remaining in the property. The </w:t>
      </w:r>
      <w:r w:rsidR="00BC3791" w:rsidRPr="003F2A07">
        <w:rPr>
          <w:rFonts w:ascii="Century Gothic" w:hAnsi="Century Gothic"/>
        </w:rPr>
        <w:t>Joint tenant</w:t>
      </w:r>
      <w:r w:rsidR="00FC7DCB" w:rsidRPr="003F2A07">
        <w:rPr>
          <w:rFonts w:ascii="Century Gothic" w:hAnsi="Century Gothic"/>
        </w:rPr>
        <w:t>s</w:t>
      </w:r>
      <w:r w:rsidR="00BC3791" w:rsidRPr="003F2A07">
        <w:rPr>
          <w:rFonts w:ascii="Century Gothic" w:hAnsi="Century Gothic"/>
        </w:rPr>
        <w:t xml:space="preserve"> </w:t>
      </w:r>
      <w:r w:rsidR="00FC7DCB" w:rsidRPr="003F2A07">
        <w:rPr>
          <w:rFonts w:ascii="Century Gothic" w:hAnsi="Century Gothic"/>
        </w:rPr>
        <w:t>are</w:t>
      </w:r>
      <w:r w:rsidR="00BC3791" w:rsidRPr="003F2A07">
        <w:rPr>
          <w:rFonts w:ascii="Century Gothic" w:hAnsi="Century Gothic"/>
        </w:rPr>
        <w:t xml:space="preserve"> required to advise us in writing and give 28 </w:t>
      </w:r>
      <w:r w:rsidR="00FC7DCB" w:rsidRPr="003F2A07">
        <w:rPr>
          <w:rFonts w:ascii="Century Gothic" w:hAnsi="Century Gothic"/>
        </w:rPr>
        <w:t>days’ notice</w:t>
      </w:r>
      <w:r w:rsidR="00BC3791" w:rsidRPr="003F2A07">
        <w:rPr>
          <w:rFonts w:ascii="Century Gothic" w:hAnsi="Century Gothic"/>
        </w:rPr>
        <w:t xml:space="preserve">. </w:t>
      </w:r>
      <w:r w:rsidR="00FC7DCB" w:rsidRPr="003F2A07">
        <w:rPr>
          <w:rFonts w:ascii="Century Gothic" w:hAnsi="Century Gothic"/>
        </w:rPr>
        <w:t xml:space="preserve">During the notice period both joint tenants are responsible for any arrears or action to be taken against them. </w:t>
      </w:r>
    </w:p>
    <w:p w14:paraId="1487DBC8" w14:textId="77777777" w:rsidR="00FC7DCB" w:rsidRPr="003F2A07" w:rsidRDefault="00DE555C" w:rsidP="00DE555C">
      <w:pPr>
        <w:rPr>
          <w:rFonts w:ascii="Century Gothic" w:hAnsi="Century Gothic"/>
        </w:rPr>
      </w:pPr>
      <w:r w:rsidRPr="003F2A07">
        <w:rPr>
          <w:rFonts w:ascii="Century Gothic" w:hAnsi="Century Gothic"/>
        </w:rPr>
        <w:t>Housing officers need to get Joint Tenants to complete a t</w:t>
      </w:r>
      <w:r w:rsidR="00FC7DCB" w:rsidRPr="003F2A07">
        <w:rPr>
          <w:rFonts w:ascii="Century Gothic" w:hAnsi="Century Gothic"/>
        </w:rPr>
        <w:t>ermination form</w:t>
      </w:r>
      <w:r w:rsidRPr="003F2A07">
        <w:rPr>
          <w:rFonts w:ascii="Century Gothic" w:hAnsi="Century Gothic"/>
        </w:rPr>
        <w:t xml:space="preserve"> and update Northgate removing a joint tenant on the 29</w:t>
      </w:r>
      <w:r w:rsidRPr="003F2A07">
        <w:rPr>
          <w:rFonts w:ascii="Century Gothic" w:hAnsi="Century Gothic"/>
          <w:vertAlign w:val="superscript"/>
        </w:rPr>
        <w:t>th</w:t>
      </w:r>
      <w:r w:rsidRPr="003F2A07">
        <w:rPr>
          <w:rFonts w:ascii="Century Gothic" w:hAnsi="Century Gothic"/>
        </w:rPr>
        <w:t xml:space="preserve"> day or next working day. </w:t>
      </w:r>
    </w:p>
    <w:p w14:paraId="3B0744E0" w14:textId="77777777" w:rsidR="00FC7DCB" w:rsidRPr="003F2A07" w:rsidRDefault="00BC3791" w:rsidP="004231CC">
      <w:pPr>
        <w:spacing w:after="0"/>
        <w:rPr>
          <w:rFonts w:ascii="Century Gothic" w:hAnsi="Century Gothic"/>
        </w:rPr>
      </w:pPr>
      <w:r w:rsidRPr="003F2A07">
        <w:rPr>
          <w:rFonts w:ascii="Century Gothic" w:hAnsi="Century Gothic"/>
        </w:rPr>
        <w:t xml:space="preserve">Assigning Joint Tenancy to Sole Tenancy: </w:t>
      </w:r>
    </w:p>
    <w:p w14:paraId="20EA0837" w14:textId="77777777" w:rsidR="00794335" w:rsidRPr="003F2A07" w:rsidRDefault="00FC7DCB" w:rsidP="00794335">
      <w:pPr>
        <w:spacing w:after="0"/>
        <w:rPr>
          <w:rFonts w:ascii="Century Gothic" w:hAnsi="Century Gothic"/>
        </w:rPr>
      </w:pPr>
      <w:r w:rsidRPr="003F2A07">
        <w:rPr>
          <w:rFonts w:ascii="Century Gothic" w:hAnsi="Century Gothic"/>
        </w:rPr>
        <w:t>Only to be used in exceptional circumstances. This should only be used if a joint tenant needs this to be completed within 28 days. Please note that the assignation process can take</w:t>
      </w:r>
      <w:r w:rsidR="0012201C" w:rsidRPr="003F2A07">
        <w:rPr>
          <w:rFonts w:ascii="Century Gothic" w:hAnsi="Century Gothic"/>
        </w:rPr>
        <w:t xml:space="preserve"> up to</w:t>
      </w:r>
      <w:r w:rsidRPr="003F2A07">
        <w:rPr>
          <w:rFonts w:ascii="Century Gothic" w:hAnsi="Century Gothic"/>
        </w:rPr>
        <w:t xml:space="preserve"> 28 days. Both tenants must agree to this.</w:t>
      </w:r>
      <w:r w:rsidR="004231CC" w:rsidRPr="003F2A07">
        <w:rPr>
          <w:rFonts w:ascii="Century Gothic" w:hAnsi="Century Gothic"/>
        </w:rPr>
        <w:t xml:space="preserve"> </w:t>
      </w:r>
    </w:p>
    <w:p w14:paraId="4D49DA5B" w14:textId="77777777" w:rsidR="0012201C" w:rsidRPr="003F2A07" w:rsidRDefault="0012201C" w:rsidP="0012201C">
      <w:pPr>
        <w:rPr>
          <w:rFonts w:ascii="Century Gothic" w:hAnsi="Century Gothic"/>
        </w:rPr>
      </w:pPr>
      <w:r w:rsidRPr="003F2A07">
        <w:rPr>
          <w:rFonts w:ascii="Century Gothic" w:hAnsi="Century Gothic"/>
        </w:rPr>
        <w:t>Housing officers must complete this action by following the Assignation Procedure.</w:t>
      </w:r>
    </w:p>
    <w:p w14:paraId="254AADA0" w14:textId="77777777" w:rsidR="00FC7DCB" w:rsidRPr="003F2A07" w:rsidRDefault="00FC7DCB" w:rsidP="00872314">
      <w:pPr>
        <w:spacing w:after="0"/>
        <w:rPr>
          <w:rFonts w:ascii="Century Gothic" w:hAnsi="Century Gothic"/>
        </w:rPr>
      </w:pPr>
      <w:r w:rsidRPr="003F2A07">
        <w:rPr>
          <w:rFonts w:ascii="Century Gothic" w:hAnsi="Century Gothic"/>
        </w:rPr>
        <w:t xml:space="preserve">Joint Tenant Abandons the Property: </w:t>
      </w:r>
    </w:p>
    <w:p w14:paraId="3CF3A16D" w14:textId="77777777" w:rsidR="00794335" w:rsidRPr="003F2A07" w:rsidRDefault="00FC7DCB" w:rsidP="00872314">
      <w:pPr>
        <w:spacing w:after="0"/>
        <w:rPr>
          <w:rFonts w:ascii="Century Gothic" w:hAnsi="Century Gothic"/>
        </w:rPr>
      </w:pPr>
      <w:r w:rsidRPr="003F2A07">
        <w:rPr>
          <w:rFonts w:ascii="Century Gothic" w:hAnsi="Century Gothic"/>
        </w:rPr>
        <w:t xml:space="preserve">If </w:t>
      </w:r>
      <w:r w:rsidR="0012201C" w:rsidRPr="003F2A07">
        <w:rPr>
          <w:rFonts w:ascii="Century Gothic" w:hAnsi="Century Gothic"/>
        </w:rPr>
        <w:t xml:space="preserve">the Housing Officer is </w:t>
      </w:r>
      <w:r w:rsidRPr="003F2A07">
        <w:rPr>
          <w:rFonts w:ascii="Century Gothic" w:hAnsi="Century Gothic"/>
        </w:rPr>
        <w:t>advised that one of the joint tenants has abandoned and the remaining tenant does not know t</w:t>
      </w:r>
      <w:r w:rsidR="00C77C76">
        <w:rPr>
          <w:rFonts w:ascii="Century Gothic" w:hAnsi="Century Gothic"/>
        </w:rPr>
        <w:t>he location of the individual, H</w:t>
      </w:r>
      <w:r w:rsidRPr="003F2A07">
        <w:rPr>
          <w:rFonts w:ascii="Century Gothic" w:hAnsi="Century Gothic"/>
        </w:rPr>
        <w:t>o</w:t>
      </w:r>
      <w:r w:rsidR="00C77C76">
        <w:rPr>
          <w:rFonts w:ascii="Century Gothic" w:hAnsi="Century Gothic"/>
        </w:rPr>
        <w:t>using O</w:t>
      </w:r>
      <w:r w:rsidR="0012201C" w:rsidRPr="003F2A07">
        <w:rPr>
          <w:rFonts w:ascii="Century Gothic" w:hAnsi="Century Gothic"/>
        </w:rPr>
        <w:t xml:space="preserve">fficers </w:t>
      </w:r>
      <w:r w:rsidR="00C77C76">
        <w:rPr>
          <w:rFonts w:ascii="Century Gothic" w:hAnsi="Century Gothic"/>
        </w:rPr>
        <w:t xml:space="preserve">must follow the abandonment procedure and serve the appropriate Notices. </w:t>
      </w:r>
      <w:r w:rsidRPr="003F2A07">
        <w:rPr>
          <w:rFonts w:ascii="Century Gothic" w:hAnsi="Century Gothic"/>
        </w:rPr>
        <w:t xml:space="preserve"> </w:t>
      </w:r>
    </w:p>
    <w:p w14:paraId="6984A551" w14:textId="77777777" w:rsidR="00794335" w:rsidRPr="003F2A07" w:rsidRDefault="00794335" w:rsidP="004231CC">
      <w:pPr>
        <w:spacing w:after="0"/>
        <w:rPr>
          <w:rFonts w:ascii="Century Gothic" w:hAnsi="Century Gothic"/>
        </w:rPr>
      </w:pPr>
    </w:p>
    <w:p w14:paraId="20C702A6" w14:textId="77777777" w:rsidR="00FC7DCB" w:rsidRPr="003F2A07" w:rsidRDefault="00FC7DCB" w:rsidP="00872314">
      <w:pPr>
        <w:spacing w:after="0"/>
        <w:rPr>
          <w:rFonts w:ascii="Century Gothic" w:hAnsi="Century Gothic"/>
        </w:rPr>
      </w:pPr>
      <w:r w:rsidRPr="003F2A07">
        <w:rPr>
          <w:rFonts w:ascii="Century Gothic" w:hAnsi="Century Gothic"/>
        </w:rPr>
        <w:t>B</w:t>
      </w:r>
      <w:r w:rsidR="0035576E" w:rsidRPr="003F2A07">
        <w:rPr>
          <w:rFonts w:ascii="Century Gothic" w:hAnsi="Century Gothic"/>
        </w:rPr>
        <w:t>oth wish to move</w:t>
      </w:r>
      <w:r w:rsidRPr="003F2A07">
        <w:rPr>
          <w:rFonts w:ascii="Century Gothic" w:hAnsi="Century Gothic"/>
        </w:rPr>
        <w:t>:</w:t>
      </w:r>
    </w:p>
    <w:p w14:paraId="0DBD5534" w14:textId="77777777" w:rsidR="00794335" w:rsidRPr="003F2A07" w:rsidRDefault="00FC7DCB" w:rsidP="00872314">
      <w:pPr>
        <w:spacing w:after="0"/>
        <w:rPr>
          <w:rFonts w:ascii="Century Gothic" w:hAnsi="Century Gothic"/>
        </w:rPr>
      </w:pPr>
      <w:r w:rsidRPr="003F2A07">
        <w:rPr>
          <w:rFonts w:ascii="Century Gothic" w:hAnsi="Century Gothic"/>
        </w:rPr>
        <w:t xml:space="preserve">If neither </w:t>
      </w:r>
      <w:proofErr w:type="gramStart"/>
      <w:r w:rsidRPr="003F2A07">
        <w:rPr>
          <w:rFonts w:ascii="Century Gothic" w:hAnsi="Century Gothic"/>
        </w:rPr>
        <w:t>tenants</w:t>
      </w:r>
      <w:proofErr w:type="gramEnd"/>
      <w:r w:rsidRPr="003F2A07">
        <w:rPr>
          <w:rFonts w:ascii="Century Gothic" w:hAnsi="Century Gothic"/>
        </w:rPr>
        <w:t xml:space="preserve"> wishes to remain in the property they must end their tenancy by giving us 28 days’ notice in writing. We must have both </w:t>
      </w:r>
      <w:proofErr w:type="gramStart"/>
      <w:r w:rsidRPr="003F2A07">
        <w:rPr>
          <w:rFonts w:ascii="Century Gothic" w:hAnsi="Century Gothic"/>
        </w:rPr>
        <w:t>tenants</w:t>
      </w:r>
      <w:proofErr w:type="gramEnd"/>
      <w:r w:rsidRPr="003F2A07">
        <w:rPr>
          <w:rFonts w:ascii="Century Gothic" w:hAnsi="Century Gothic"/>
        </w:rPr>
        <w:t xml:space="preserve"> signature. </w:t>
      </w:r>
    </w:p>
    <w:p w14:paraId="337A5687" w14:textId="77777777" w:rsidR="0012201C" w:rsidRPr="003F2A07" w:rsidRDefault="0012201C" w:rsidP="0012201C">
      <w:pPr>
        <w:rPr>
          <w:rFonts w:ascii="Century Gothic" w:hAnsi="Century Gothic"/>
        </w:rPr>
      </w:pPr>
      <w:r w:rsidRPr="003F2A07">
        <w:rPr>
          <w:rFonts w:ascii="Century Gothic" w:hAnsi="Century Gothic"/>
        </w:rPr>
        <w:t>Housing Officers need to ensure that a Termination Form is completed and signed by both tenants and follow the End of Tenancy Procedure to ensure the tenancy is correctly ended.</w:t>
      </w:r>
    </w:p>
    <w:p w14:paraId="77563A14" w14:textId="77777777" w:rsidR="0012201C" w:rsidRDefault="0012201C">
      <w:pPr>
        <w:rPr>
          <w:rFonts w:ascii="Verdana" w:hAnsi="Verdana"/>
        </w:rPr>
      </w:pPr>
      <w:r>
        <w:rPr>
          <w:rFonts w:ascii="Verdana" w:hAnsi="Verdana"/>
        </w:rPr>
        <w:br w:type="page"/>
      </w:r>
    </w:p>
    <w:p w14:paraId="41FF0495" w14:textId="77777777" w:rsidR="0035576E" w:rsidRPr="002921A9" w:rsidRDefault="00872314" w:rsidP="00FC7DCB">
      <w:pPr>
        <w:rPr>
          <w:rStyle w:val="BookTitle"/>
          <w:rFonts w:ascii="Verdana" w:hAnsi="Verdana"/>
          <w:sz w:val="24"/>
        </w:rPr>
      </w:pPr>
      <w:r w:rsidRPr="002921A9">
        <w:rPr>
          <w:rStyle w:val="BookTitle"/>
          <w:rFonts w:ascii="Verdana" w:hAnsi="Verdana"/>
          <w:sz w:val="24"/>
        </w:rPr>
        <w:lastRenderedPageBreak/>
        <w:t>NO AGREEMENT</w:t>
      </w:r>
    </w:p>
    <w:p w14:paraId="6F5F9095" w14:textId="77777777" w:rsidR="00773244" w:rsidRPr="003F2A07" w:rsidRDefault="00773244" w:rsidP="00773244">
      <w:pPr>
        <w:rPr>
          <w:rFonts w:ascii="Century Gothic" w:hAnsi="Century Gothic"/>
        </w:rPr>
      </w:pPr>
      <w:r w:rsidRPr="003F2A07">
        <w:rPr>
          <w:rFonts w:ascii="Century Gothic" w:hAnsi="Century Gothic"/>
        </w:rPr>
        <w:t xml:space="preserve">If no agreement can be reached between the ex-partners and reconciliation is not an option, we cannot become involved. Both parties must seek legal advice and apply to the courts to decide who should be awarded the tenancy. There are differences depending if the individual </w:t>
      </w:r>
      <w:proofErr w:type="gramStart"/>
      <w:r w:rsidRPr="003F2A07">
        <w:rPr>
          <w:rFonts w:ascii="Century Gothic" w:hAnsi="Century Gothic"/>
        </w:rPr>
        <w:t>are</w:t>
      </w:r>
      <w:proofErr w:type="gramEnd"/>
      <w:r w:rsidRPr="003F2A07">
        <w:rPr>
          <w:rFonts w:ascii="Century Gothic" w:hAnsi="Century Gothic"/>
        </w:rPr>
        <w:t xml:space="preserve"> married, in a civil partnership or coha</w:t>
      </w:r>
      <w:r w:rsidR="00E95814" w:rsidRPr="003F2A07">
        <w:rPr>
          <w:rFonts w:ascii="Century Gothic" w:hAnsi="Century Gothic"/>
        </w:rPr>
        <w:t>bitees.</w:t>
      </w:r>
    </w:p>
    <w:p w14:paraId="403A96C5" w14:textId="77777777" w:rsidR="00702E54" w:rsidRPr="003F2A07" w:rsidRDefault="00E95814" w:rsidP="00702E54">
      <w:pPr>
        <w:spacing w:after="0"/>
        <w:rPr>
          <w:rFonts w:ascii="Century Gothic" w:hAnsi="Century Gothic"/>
        </w:rPr>
      </w:pPr>
      <w:r w:rsidRPr="003F2A07">
        <w:rPr>
          <w:rFonts w:ascii="Century Gothic" w:hAnsi="Century Gothic"/>
        </w:rPr>
        <w:t xml:space="preserve">Married and Civil Partnership: </w:t>
      </w:r>
    </w:p>
    <w:p w14:paraId="22B6DA1C" w14:textId="77777777" w:rsidR="00E95814" w:rsidRPr="003F2A07" w:rsidRDefault="00E95814" w:rsidP="00702E54">
      <w:pPr>
        <w:spacing w:after="0"/>
        <w:rPr>
          <w:rFonts w:ascii="Century Gothic" w:hAnsi="Century Gothic"/>
        </w:rPr>
      </w:pPr>
      <w:r w:rsidRPr="003F2A07">
        <w:rPr>
          <w:rFonts w:ascii="Century Gothic" w:hAnsi="Century Gothic"/>
        </w:rPr>
        <w:t xml:space="preserve">If both individuals are joint tenants, a court order needs to be obtained to decide who will remain in the tenancy. Until the decision is made both names will remain on the tenancy, both parties have rights and responsibilities to the tenancy including paying rent and any repayment of rent arrears. This applies even if one individual has moved out. </w:t>
      </w:r>
    </w:p>
    <w:p w14:paraId="5BDA3624" w14:textId="77777777" w:rsidR="002921A9" w:rsidRPr="003F2A07" w:rsidRDefault="002921A9" w:rsidP="00702E54">
      <w:pPr>
        <w:spacing w:after="0"/>
        <w:rPr>
          <w:rFonts w:ascii="Century Gothic" w:hAnsi="Century Gothic"/>
        </w:rPr>
      </w:pPr>
    </w:p>
    <w:p w14:paraId="5D5BF857" w14:textId="77777777" w:rsidR="002921A9" w:rsidRPr="003F2A07" w:rsidRDefault="002921A9" w:rsidP="00702E54">
      <w:pPr>
        <w:spacing w:after="0"/>
        <w:rPr>
          <w:rFonts w:ascii="Century Gothic" w:hAnsi="Century Gothic"/>
        </w:rPr>
      </w:pPr>
      <w:r w:rsidRPr="003F2A07">
        <w:rPr>
          <w:rFonts w:ascii="Century Gothic" w:hAnsi="Century Gothic"/>
        </w:rPr>
        <w:t xml:space="preserve">If it is a sole tenancy and the tenant wants their ex-partner (household member) to leave, we cannot take any action under the matrimonial rights. If married/civil </w:t>
      </w:r>
      <w:proofErr w:type="gramStart"/>
      <w:r w:rsidRPr="003F2A07">
        <w:rPr>
          <w:rFonts w:ascii="Century Gothic" w:hAnsi="Century Gothic"/>
        </w:rPr>
        <w:t>partnership</w:t>
      </w:r>
      <w:proofErr w:type="gramEnd"/>
      <w:r w:rsidRPr="003F2A07">
        <w:rPr>
          <w:rFonts w:ascii="Century Gothic" w:hAnsi="Century Gothic"/>
        </w:rPr>
        <w:t xml:space="preserve"> they automatically have occupancy rights. A court order needs to be obtained to decide who will remain in the property. The decision from the court will advise who will be awarded the tenancy.</w:t>
      </w:r>
    </w:p>
    <w:p w14:paraId="2C5305B6" w14:textId="77777777" w:rsidR="002921A9" w:rsidRPr="003F2A07" w:rsidRDefault="002921A9" w:rsidP="00702E54">
      <w:pPr>
        <w:spacing w:after="0"/>
        <w:rPr>
          <w:rFonts w:ascii="Century Gothic" w:hAnsi="Century Gothic"/>
        </w:rPr>
      </w:pPr>
    </w:p>
    <w:p w14:paraId="080EE45F" w14:textId="77777777" w:rsidR="002921A9" w:rsidRPr="003F2A07" w:rsidRDefault="002921A9" w:rsidP="00702E54">
      <w:pPr>
        <w:spacing w:after="0"/>
        <w:rPr>
          <w:rFonts w:ascii="Century Gothic" w:hAnsi="Century Gothic"/>
        </w:rPr>
      </w:pPr>
      <w:r w:rsidRPr="003F2A07">
        <w:rPr>
          <w:rFonts w:ascii="Century Gothic" w:hAnsi="Century Gothic"/>
        </w:rPr>
        <w:t>Cohabitees:</w:t>
      </w:r>
    </w:p>
    <w:p w14:paraId="3E5BCE67" w14:textId="77777777" w:rsidR="002921A9" w:rsidRPr="003F2A07" w:rsidRDefault="002921A9" w:rsidP="002921A9">
      <w:pPr>
        <w:spacing w:after="0"/>
        <w:rPr>
          <w:rFonts w:ascii="Century Gothic" w:hAnsi="Century Gothic"/>
        </w:rPr>
      </w:pPr>
      <w:r w:rsidRPr="003F2A07">
        <w:rPr>
          <w:rFonts w:ascii="Century Gothic" w:hAnsi="Century Gothic"/>
        </w:rPr>
        <w:t xml:space="preserve">If both individuals are joint tenants, a court order needs to be obtained to decide who will remain in the tenancy. Until the decision is made both names will remain on the tenancy, both parties have rights and responsibilities to the tenancy including paying rent and any repayment of rent arrears. This applies even if one individual has moved out. </w:t>
      </w:r>
    </w:p>
    <w:p w14:paraId="630A209B" w14:textId="77777777" w:rsidR="00773244" w:rsidRPr="003F2A07" w:rsidRDefault="002921A9" w:rsidP="00773244">
      <w:pPr>
        <w:rPr>
          <w:rFonts w:ascii="Century Gothic" w:hAnsi="Century Gothic"/>
        </w:rPr>
      </w:pPr>
      <w:r w:rsidRPr="003F2A07">
        <w:rPr>
          <w:rFonts w:ascii="Century Gothic" w:hAnsi="Century Gothic"/>
        </w:rPr>
        <w:t>Non-tenant</w:t>
      </w:r>
      <w:r w:rsidR="003D17AA" w:rsidRPr="003F2A07">
        <w:rPr>
          <w:rFonts w:ascii="Century Gothic" w:hAnsi="Century Gothic"/>
        </w:rPr>
        <w:t xml:space="preserve"> partner</w:t>
      </w:r>
      <w:r w:rsidR="006601DD" w:rsidRPr="003F2A07">
        <w:rPr>
          <w:rFonts w:ascii="Century Gothic" w:hAnsi="Century Gothic"/>
        </w:rPr>
        <w:t xml:space="preserve"> can apply to the court to be granted occupancy rights. Occupancy rights will only be granted for 6 months at a time. Occupancy rights give the non-tenant the right to live in the property but do not give them the right to the tenancy. If occupancy rights are awarded, the sole tenant will remain as the sole tenant on the tenancy agreement and have the right and responsibilities to the tenancy including paying rent and any rent arrears. The sole tenancy will remain until the sole tenant requests to assign the tenancy. </w:t>
      </w:r>
    </w:p>
    <w:p w14:paraId="1691B653" w14:textId="77777777" w:rsidR="005518A7" w:rsidRDefault="005518A7">
      <w:pPr>
        <w:rPr>
          <w:rStyle w:val="BookTitle"/>
          <w:rFonts w:ascii="Verdana" w:hAnsi="Verdana"/>
          <w:sz w:val="24"/>
        </w:rPr>
      </w:pPr>
      <w:r>
        <w:rPr>
          <w:rStyle w:val="BookTitle"/>
          <w:rFonts w:ascii="Verdana" w:hAnsi="Verdana"/>
          <w:sz w:val="24"/>
        </w:rPr>
        <w:br w:type="page"/>
      </w:r>
    </w:p>
    <w:p w14:paraId="6F0C43B9" w14:textId="77777777" w:rsidR="006601DD" w:rsidRPr="006601DD" w:rsidRDefault="00872314" w:rsidP="0035576E">
      <w:pPr>
        <w:rPr>
          <w:rFonts w:ascii="Verdana" w:hAnsi="Verdana"/>
          <w:b/>
          <w:bCs/>
          <w:smallCaps/>
          <w:spacing w:val="5"/>
          <w:sz w:val="24"/>
        </w:rPr>
      </w:pPr>
      <w:r>
        <w:rPr>
          <w:rStyle w:val="BookTitle"/>
          <w:rFonts w:ascii="Verdana" w:hAnsi="Verdana"/>
          <w:sz w:val="24"/>
        </w:rPr>
        <w:lastRenderedPageBreak/>
        <w:t xml:space="preserve">INFORMATION AND GUIDANCE </w:t>
      </w:r>
    </w:p>
    <w:p w14:paraId="448F0B8A" w14:textId="77777777" w:rsidR="0012201C" w:rsidRPr="003F2A07" w:rsidRDefault="0012201C" w:rsidP="0035576E">
      <w:pPr>
        <w:rPr>
          <w:rFonts w:ascii="Century Gothic" w:hAnsi="Century Gothic"/>
        </w:rPr>
      </w:pPr>
      <w:r w:rsidRPr="003F2A07">
        <w:rPr>
          <w:rFonts w:ascii="Century Gothic" w:hAnsi="Century Gothic"/>
        </w:rPr>
        <w:t>Who should remain in the family home:</w:t>
      </w:r>
    </w:p>
    <w:p w14:paraId="3EBA865F" w14:textId="77777777" w:rsidR="0035576E" w:rsidRPr="003F2A07" w:rsidRDefault="0035576E" w:rsidP="0035576E">
      <w:pPr>
        <w:rPr>
          <w:rFonts w:ascii="Century Gothic" w:hAnsi="Century Gothic"/>
        </w:rPr>
      </w:pPr>
      <w:r w:rsidRPr="003F2A07">
        <w:rPr>
          <w:rFonts w:ascii="Century Gothic" w:hAnsi="Century Gothic"/>
        </w:rPr>
        <w:t xml:space="preserve">This is the responsibility of the customers to </w:t>
      </w:r>
      <w:r w:rsidR="006601DD" w:rsidRPr="003F2A07">
        <w:rPr>
          <w:rFonts w:ascii="Century Gothic" w:hAnsi="Century Gothic"/>
        </w:rPr>
        <w:t>decide;</w:t>
      </w:r>
      <w:r w:rsidRPr="003F2A07">
        <w:rPr>
          <w:rFonts w:ascii="Century Gothic" w:hAnsi="Century Gothic"/>
        </w:rPr>
        <w:t xml:space="preserve"> we </w:t>
      </w:r>
      <w:r w:rsidR="006601DD" w:rsidRPr="003F2A07">
        <w:rPr>
          <w:rFonts w:ascii="Century Gothic" w:hAnsi="Century Gothic"/>
        </w:rPr>
        <w:t>cannot</w:t>
      </w:r>
      <w:r w:rsidRPr="003F2A07">
        <w:rPr>
          <w:rFonts w:ascii="Century Gothic" w:hAnsi="Century Gothic"/>
        </w:rPr>
        <w:t xml:space="preserve"> take sides or influence any decision. We </w:t>
      </w:r>
      <w:proofErr w:type="gramStart"/>
      <w:r w:rsidRPr="003F2A07">
        <w:rPr>
          <w:rFonts w:ascii="Century Gothic" w:hAnsi="Century Gothic"/>
        </w:rPr>
        <w:t>have to</w:t>
      </w:r>
      <w:proofErr w:type="gramEnd"/>
      <w:r w:rsidRPr="003F2A07">
        <w:rPr>
          <w:rFonts w:ascii="Century Gothic" w:hAnsi="Century Gothic"/>
        </w:rPr>
        <w:t xml:space="preserve"> remain impartial and offer advice when it has been requested. Staying in the family home is based on </w:t>
      </w:r>
      <w:proofErr w:type="gramStart"/>
      <w:r w:rsidRPr="003F2A07">
        <w:rPr>
          <w:rFonts w:ascii="Century Gothic" w:hAnsi="Century Gothic"/>
        </w:rPr>
        <w:t>a number of</w:t>
      </w:r>
      <w:proofErr w:type="gramEnd"/>
      <w:r w:rsidRPr="003F2A07">
        <w:rPr>
          <w:rFonts w:ascii="Century Gothic" w:hAnsi="Century Gothic"/>
        </w:rPr>
        <w:t xml:space="preserve"> factors:</w:t>
      </w:r>
    </w:p>
    <w:p w14:paraId="14C1D12B" w14:textId="77777777" w:rsidR="0035576E" w:rsidRPr="003F2A07" w:rsidRDefault="0035576E" w:rsidP="003F2A07">
      <w:pPr>
        <w:pStyle w:val="ListParagraph"/>
        <w:numPr>
          <w:ilvl w:val="0"/>
          <w:numId w:val="1"/>
        </w:numPr>
        <w:ind w:left="426" w:hanging="284"/>
        <w:rPr>
          <w:rFonts w:ascii="Century Gothic" w:hAnsi="Century Gothic"/>
        </w:rPr>
      </w:pPr>
      <w:r w:rsidRPr="003F2A07">
        <w:rPr>
          <w:rFonts w:ascii="Century Gothic" w:hAnsi="Century Gothic"/>
        </w:rPr>
        <w:t>Whether they are married or not?</w:t>
      </w:r>
    </w:p>
    <w:p w14:paraId="6A820C40" w14:textId="77777777" w:rsidR="0035576E" w:rsidRPr="003F2A07" w:rsidRDefault="0035576E" w:rsidP="003F2A07">
      <w:pPr>
        <w:pStyle w:val="ListParagraph"/>
        <w:numPr>
          <w:ilvl w:val="0"/>
          <w:numId w:val="1"/>
        </w:numPr>
        <w:ind w:left="426" w:hanging="284"/>
        <w:rPr>
          <w:rFonts w:ascii="Century Gothic" w:hAnsi="Century Gothic"/>
        </w:rPr>
      </w:pPr>
      <w:r w:rsidRPr="003F2A07">
        <w:rPr>
          <w:rFonts w:ascii="Century Gothic" w:hAnsi="Century Gothic"/>
        </w:rPr>
        <w:t>Whether there are children involved?</w:t>
      </w:r>
    </w:p>
    <w:p w14:paraId="1A1CE4D8" w14:textId="77777777" w:rsidR="0035576E" w:rsidRPr="003F2A07" w:rsidRDefault="0035576E" w:rsidP="003F2A07">
      <w:pPr>
        <w:pStyle w:val="ListParagraph"/>
        <w:numPr>
          <w:ilvl w:val="0"/>
          <w:numId w:val="1"/>
        </w:numPr>
        <w:ind w:left="426" w:hanging="284"/>
        <w:rPr>
          <w:rFonts w:ascii="Century Gothic" w:hAnsi="Century Gothic"/>
        </w:rPr>
      </w:pPr>
      <w:r w:rsidRPr="003F2A07">
        <w:rPr>
          <w:rFonts w:ascii="Century Gothic" w:hAnsi="Century Gothic"/>
        </w:rPr>
        <w:t>Is the property used for business purposes?</w:t>
      </w:r>
    </w:p>
    <w:p w14:paraId="6183F407" w14:textId="77777777" w:rsidR="0035576E" w:rsidRPr="003F2A07" w:rsidRDefault="0035576E" w:rsidP="003F2A07">
      <w:pPr>
        <w:pStyle w:val="ListParagraph"/>
        <w:numPr>
          <w:ilvl w:val="0"/>
          <w:numId w:val="1"/>
        </w:numPr>
        <w:ind w:left="426" w:hanging="284"/>
        <w:rPr>
          <w:rFonts w:ascii="Century Gothic" w:hAnsi="Century Gothic"/>
        </w:rPr>
      </w:pPr>
      <w:r w:rsidRPr="003F2A07">
        <w:rPr>
          <w:rFonts w:ascii="Century Gothic" w:hAnsi="Century Gothic"/>
        </w:rPr>
        <w:t>Whether they can afford to remain in the property? We can offer FIT assistance</w:t>
      </w:r>
    </w:p>
    <w:p w14:paraId="1E35AE46" w14:textId="77777777" w:rsidR="0035576E" w:rsidRPr="003F2A07" w:rsidRDefault="0035576E" w:rsidP="003F2A07">
      <w:pPr>
        <w:pStyle w:val="ListParagraph"/>
        <w:numPr>
          <w:ilvl w:val="0"/>
          <w:numId w:val="1"/>
        </w:numPr>
        <w:ind w:left="426" w:hanging="284"/>
        <w:rPr>
          <w:rFonts w:ascii="Century Gothic" w:hAnsi="Century Gothic"/>
        </w:rPr>
      </w:pPr>
      <w:r w:rsidRPr="003F2A07">
        <w:rPr>
          <w:rFonts w:ascii="Century Gothic" w:hAnsi="Century Gothic"/>
        </w:rPr>
        <w:t>The persons named on tenancy does not necessarily have to be the one to remain in the property</w:t>
      </w:r>
    </w:p>
    <w:p w14:paraId="0C6B8554" w14:textId="77777777" w:rsidR="0035576E" w:rsidRPr="003F2A07" w:rsidRDefault="0035576E" w:rsidP="0035576E">
      <w:pPr>
        <w:rPr>
          <w:rFonts w:ascii="Century Gothic" w:hAnsi="Century Gothic"/>
        </w:rPr>
      </w:pPr>
      <w:r w:rsidRPr="003F2A07">
        <w:rPr>
          <w:rFonts w:ascii="Century Gothic" w:hAnsi="Century Gothic"/>
        </w:rPr>
        <w:t>Advantages:</w:t>
      </w:r>
    </w:p>
    <w:p w14:paraId="13E6AF73" w14:textId="77777777" w:rsidR="0035576E" w:rsidRPr="003F2A07" w:rsidRDefault="0035576E" w:rsidP="003F2A07">
      <w:pPr>
        <w:pStyle w:val="ListParagraph"/>
        <w:numPr>
          <w:ilvl w:val="0"/>
          <w:numId w:val="2"/>
        </w:numPr>
        <w:ind w:left="426" w:hanging="284"/>
        <w:rPr>
          <w:rFonts w:ascii="Century Gothic" w:hAnsi="Century Gothic"/>
        </w:rPr>
      </w:pPr>
      <w:r w:rsidRPr="003F2A07">
        <w:rPr>
          <w:rFonts w:ascii="Century Gothic" w:hAnsi="Century Gothic"/>
        </w:rPr>
        <w:t>You don’t have to go</w:t>
      </w:r>
      <w:r w:rsidR="00BB2576">
        <w:rPr>
          <w:rFonts w:ascii="Century Gothic" w:hAnsi="Century Gothic"/>
        </w:rPr>
        <w:t xml:space="preserve"> through</w:t>
      </w:r>
      <w:r w:rsidRPr="003F2A07">
        <w:rPr>
          <w:rFonts w:ascii="Century Gothic" w:hAnsi="Century Gothic"/>
        </w:rPr>
        <w:t xml:space="preserve"> the upheaval of moving</w:t>
      </w:r>
    </w:p>
    <w:p w14:paraId="13E590A4" w14:textId="77777777" w:rsidR="0035576E" w:rsidRPr="003F2A07" w:rsidRDefault="0035576E" w:rsidP="003F2A07">
      <w:pPr>
        <w:pStyle w:val="ListParagraph"/>
        <w:numPr>
          <w:ilvl w:val="0"/>
          <w:numId w:val="2"/>
        </w:numPr>
        <w:ind w:left="426" w:hanging="284"/>
        <w:rPr>
          <w:rFonts w:ascii="Century Gothic" w:hAnsi="Century Gothic"/>
        </w:rPr>
      </w:pPr>
      <w:r w:rsidRPr="003F2A07">
        <w:rPr>
          <w:rFonts w:ascii="Century Gothic" w:hAnsi="Century Gothic"/>
        </w:rPr>
        <w:t>You won’t have to move away from work, school, friends, family</w:t>
      </w:r>
    </w:p>
    <w:p w14:paraId="68EAB074" w14:textId="77777777" w:rsidR="0035576E" w:rsidRPr="003F2A07" w:rsidRDefault="0035576E" w:rsidP="0035576E">
      <w:pPr>
        <w:rPr>
          <w:rFonts w:ascii="Century Gothic" w:hAnsi="Century Gothic"/>
        </w:rPr>
      </w:pPr>
      <w:r w:rsidRPr="003F2A07">
        <w:rPr>
          <w:rFonts w:ascii="Century Gothic" w:hAnsi="Century Gothic"/>
        </w:rPr>
        <w:t>Disadvantages:</w:t>
      </w:r>
    </w:p>
    <w:p w14:paraId="0E8039EB" w14:textId="77777777" w:rsidR="0035576E" w:rsidRPr="003F2A07" w:rsidRDefault="0035576E" w:rsidP="003F2A07">
      <w:pPr>
        <w:pStyle w:val="ListParagraph"/>
        <w:numPr>
          <w:ilvl w:val="0"/>
          <w:numId w:val="3"/>
        </w:numPr>
        <w:ind w:left="426" w:hanging="284"/>
        <w:rPr>
          <w:rFonts w:ascii="Century Gothic" w:hAnsi="Century Gothic"/>
        </w:rPr>
      </w:pPr>
      <w:r w:rsidRPr="003F2A07">
        <w:rPr>
          <w:rFonts w:ascii="Century Gothic" w:hAnsi="Century Gothic"/>
        </w:rPr>
        <w:t>Property is too large or too expensive to run on your own</w:t>
      </w:r>
    </w:p>
    <w:p w14:paraId="683AB5CC" w14:textId="77777777" w:rsidR="0035576E" w:rsidRPr="003F2A07" w:rsidRDefault="0035576E" w:rsidP="003F2A07">
      <w:pPr>
        <w:pStyle w:val="ListParagraph"/>
        <w:numPr>
          <w:ilvl w:val="0"/>
          <w:numId w:val="3"/>
        </w:numPr>
        <w:ind w:left="426" w:hanging="284"/>
        <w:rPr>
          <w:rFonts w:ascii="Century Gothic" w:hAnsi="Century Gothic"/>
        </w:rPr>
      </w:pPr>
      <w:r w:rsidRPr="003F2A07">
        <w:rPr>
          <w:rFonts w:ascii="Century Gothic" w:hAnsi="Century Gothic"/>
        </w:rPr>
        <w:t>If your partner has been violent or abusive to you, this may not be safe, as they know where you live</w:t>
      </w:r>
    </w:p>
    <w:p w14:paraId="2F5D539D" w14:textId="77777777" w:rsidR="0035576E" w:rsidRPr="003F2A07" w:rsidRDefault="0035576E" w:rsidP="003F2A07">
      <w:pPr>
        <w:pStyle w:val="ListParagraph"/>
        <w:numPr>
          <w:ilvl w:val="0"/>
          <w:numId w:val="3"/>
        </w:numPr>
        <w:ind w:left="426" w:hanging="284"/>
        <w:rPr>
          <w:rFonts w:ascii="Century Gothic" w:hAnsi="Century Gothic"/>
        </w:rPr>
      </w:pPr>
      <w:r w:rsidRPr="003F2A07">
        <w:rPr>
          <w:rFonts w:ascii="Century Gothic" w:hAnsi="Century Gothic"/>
        </w:rPr>
        <w:t>It might be harder to start a fresh if you are still living in the home you live in</w:t>
      </w:r>
    </w:p>
    <w:p w14:paraId="2A5D7538" w14:textId="77777777" w:rsidR="005D2D60" w:rsidRDefault="005D2D60">
      <w:pPr>
        <w:rPr>
          <w:rFonts w:ascii="Verdana" w:hAnsi="Verdana"/>
        </w:rPr>
      </w:pPr>
    </w:p>
    <w:sectPr w:rsidR="005D2D6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B40ED" w14:textId="77777777" w:rsidR="0086257F" w:rsidRDefault="0086257F" w:rsidP="00DE1026">
      <w:pPr>
        <w:spacing w:after="0" w:line="240" w:lineRule="auto"/>
      </w:pPr>
      <w:r>
        <w:separator/>
      </w:r>
    </w:p>
  </w:endnote>
  <w:endnote w:type="continuationSeparator" w:id="0">
    <w:p w14:paraId="244CCAD3" w14:textId="77777777" w:rsidR="0086257F" w:rsidRDefault="0086257F" w:rsidP="00DE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9281" w14:textId="77777777" w:rsidR="00DE1026" w:rsidRDefault="00DE1026">
    <w:pPr>
      <w:pStyle w:val="Footer"/>
      <w:jc w:val="right"/>
    </w:pPr>
  </w:p>
  <w:p w14:paraId="0C3E58DA" w14:textId="77777777" w:rsidR="00DE1026" w:rsidRDefault="00DE1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DE07E" w14:textId="77777777" w:rsidR="0086257F" w:rsidRDefault="0086257F" w:rsidP="00DE1026">
      <w:pPr>
        <w:spacing w:after="0" w:line="240" w:lineRule="auto"/>
      </w:pPr>
      <w:r>
        <w:separator/>
      </w:r>
    </w:p>
  </w:footnote>
  <w:footnote w:type="continuationSeparator" w:id="0">
    <w:p w14:paraId="14842BAE" w14:textId="77777777" w:rsidR="0086257F" w:rsidRDefault="0086257F" w:rsidP="00DE1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5106E"/>
    <w:multiLevelType w:val="hybridMultilevel"/>
    <w:tmpl w:val="002C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248E2"/>
    <w:multiLevelType w:val="hybridMultilevel"/>
    <w:tmpl w:val="9C04E134"/>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2" w15:restartNumberingAfterBreak="0">
    <w:nsid w:val="3741684B"/>
    <w:multiLevelType w:val="hybridMultilevel"/>
    <w:tmpl w:val="8D4E64EE"/>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3" w15:restartNumberingAfterBreak="0">
    <w:nsid w:val="4AA57028"/>
    <w:multiLevelType w:val="hybridMultilevel"/>
    <w:tmpl w:val="1A6C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55C12"/>
    <w:multiLevelType w:val="hybridMultilevel"/>
    <w:tmpl w:val="E95C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7730C"/>
    <w:multiLevelType w:val="hybridMultilevel"/>
    <w:tmpl w:val="CBF2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B2B21"/>
    <w:multiLevelType w:val="hybridMultilevel"/>
    <w:tmpl w:val="B7A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34DC1"/>
    <w:multiLevelType w:val="hybridMultilevel"/>
    <w:tmpl w:val="5DAC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49"/>
    <w:rsid w:val="00045974"/>
    <w:rsid w:val="000E3E77"/>
    <w:rsid w:val="000F2C08"/>
    <w:rsid w:val="00114CCE"/>
    <w:rsid w:val="0012201C"/>
    <w:rsid w:val="001843E1"/>
    <w:rsid w:val="00193F8F"/>
    <w:rsid w:val="001C1E50"/>
    <w:rsid w:val="001F5FDE"/>
    <w:rsid w:val="001F720E"/>
    <w:rsid w:val="002718DB"/>
    <w:rsid w:val="002921A9"/>
    <w:rsid w:val="002C67EE"/>
    <w:rsid w:val="002F0E19"/>
    <w:rsid w:val="0035576E"/>
    <w:rsid w:val="003D17AA"/>
    <w:rsid w:val="003F2A07"/>
    <w:rsid w:val="004231CC"/>
    <w:rsid w:val="00434CDF"/>
    <w:rsid w:val="004A337C"/>
    <w:rsid w:val="004C096F"/>
    <w:rsid w:val="004E18F7"/>
    <w:rsid w:val="005518A7"/>
    <w:rsid w:val="005D2D60"/>
    <w:rsid w:val="00616915"/>
    <w:rsid w:val="00621FF1"/>
    <w:rsid w:val="00650D07"/>
    <w:rsid w:val="00655E96"/>
    <w:rsid w:val="006601DD"/>
    <w:rsid w:val="00692698"/>
    <w:rsid w:val="006F181C"/>
    <w:rsid w:val="00702E54"/>
    <w:rsid w:val="00755B6D"/>
    <w:rsid w:val="00773244"/>
    <w:rsid w:val="00786D39"/>
    <w:rsid w:val="00794335"/>
    <w:rsid w:val="007B6797"/>
    <w:rsid w:val="00811F64"/>
    <w:rsid w:val="0086257F"/>
    <w:rsid w:val="0086769E"/>
    <w:rsid w:val="00872314"/>
    <w:rsid w:val="008E50B6"/>
    <w:rsid w:val="00984AD9"/>
    <w:rsid w:val="009B49EF"/>
    <w:rsid w:val="00A31BAD"/>
    <w:rsid w:val="00A36FD0"/>
    <w:rsid w:val="00A37C7A"/>
    <w:rsid w:val="00B1682C"/>
    <w:rsid w:val="00B91B17"/>
    <w:rsid w:val="00BB2576"/>
    <w:rsid w:val="00BC3791"/>
    <w:rsid w:val="00BC59AE"/>
    <w:rsid w:val="00C03DD2"/>
    <w:rsid w:val="00C24F39"/>
    <w:rsid w:val="00C77C76"/>
    <w:rsid w:val="00CA20B0"/>
    <w:rsid w:val="00DA367D"/>
    <w:rsid w:val="00DE1026"/>
    <w:rsid w:val="00DE555C"/>
    <w:rsid w:val="00DF4BAD"/>
    <w:rsid w:val="00E05C59"/>
    <w:rsid w:val="00E95814"/>
    <w:rsid w:val="00F24B49"/>
    <w:rsid w:val="00F27E64"/>
    <w:rsid w:val="00F86489"/>
    <w:rsid w:val="00FB354B"/>
    <w:rsid w:val="00FC7DCB"/>
    <w:rsid w:val="00FF5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EEF4"/>
  <w15:docId w15:val="{0EF52B82-F125-460D-BD2B-77A02A5E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B6D"/>
    <w:pPr>
      <w:ind w:left="720"/>
      <w:contextualSpacing/>
    </w:pPr>
  </w:style>
  <w:style w:type="paragraph" w:styleId="BalloonText">
    <w:name w:val="Balloon Text"/>
    <w:basedOn w:val="Normal"/>
    <w:link w:val="BalloonTextChar"/>
    <w:uiPriority w:val="99"/>
    <w:semiHidden/>
    <w:unhideWhenUsed/>
    <w:rsid w:val="0043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CDF"/>
    <w:rPr>
      <w:rFonts w:ascii="Tahoma" w:hAnsi="Tahoma" w:cs="Tahoma"/>
      <w:sz w:val="16"/>
      <w:szCs w:val="16"/>
    </w:rPr>
  </w:style>
  <w:style w:type="paragraph" w:styleId="Header">
    <w:name w:val="header"/>
    <w:basedOn w:val="Normal"/>
    <w:link w:val="HeaderChar"/>
    <w:uiPriority w:val="99"/>
    <w:unhideWhenUsed/>
    <w:rsid w:val="00DE1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026"/>
  </w:style>
  <w:style w:type="paragraph" w:styleId="Footer">
    <w:name w:val="footer"/>
    <w:basedOn w:val="Normal"/>
    <w:link w:val="FooterChar"/>
    <w:uiPriority w:val="99"/>
    <w:unhideWhenUsed/>
    <w:rsid w:val="00DE1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026"/>
  </w:style>
  <w:style w:type="character" w:styleId="BookTitle">
    <w:name w:val="Book Title"/>
    <w:basedOn w:val="DefaultParagraphFont"/>
    <w:uiPriority w:val="33"/>
    <w:qFormat/>
    <w:rsid w:val="004E18F7"/>
    <w:rPr>
      <w:b/>
      <w:bCs/>
      <w:smallCaps/>
      <w:spacing w:val="5"/>
    </w:rPr>
  </w:style>
  <w:style w:type="table" w:styleId="TableGrid">
    <w:name w:val="Table Grid"/>
    <w:basedOn w:val="TableNormal"/>
    <w:uiPriority w:val="59"/>
    <w:rsid w:val="005D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C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M%20PRO%20-%20Abandonment.docx" TargetMode="External"/><Relationship Id="rId5" Type="http://schemas.openxmlformats.org/officeDocument/2006/relationships/webSettings" Target="webSettings.xml"/><Relationship Id="rId10" Type="http://schemas.openxmlformats.org/officeDocument/2006/relationships/hyperlink" Target="HM%20PRO%20-%20End%20of%20Tenancy.docx" TargetMode="External"/><Relationship Id="rId4" Type="http://schemas.openxmlformats.org/officeDocument/2006/relationships/settings" Target="settings.xml"/><Relationship Id="rId9" Type="http://schemas.openxmlformats.org/officeDocument/2006/relationships/hyperlink" Target="HM%20PRO%20-%20Assignatio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967E-D29C-40B1-A1C2-74D1AB7D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Alice</dc:creator>
  <cp:lastModifiedBy>Jae Lee</cp:lastModifiedBy>
  <cp:revision>9</cp:revision>
  <cp:lastPrinted>2016-05-23T08:00:00Z</cp:lastPrinted>
  <dcterms:created xsi:type="dcterms:W3CDTF">2018-08-29T15:16:00Z</dcterms:created>
  <dcterms:modified xsi:type="dcterms:W3CDTF">2021-11-30T16:14:00Z</dcterms:modified>
</cp:coreProperties>
</file>